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D3" w:rsidRPr="00F30A3A" w:rsidRDefault="00EE6AF9" w:rsidP="00903CC4">
      <w:pPr>
        <w:jc w:val="center"/>
        <w:rPr>
          <w:rFonts w:ascii="Arial" w:hAnsi="Arial" w:cs="Arial"/>
          <w:b/>
          <w:bCs/>
          <w:sz w:val="28"/>
          <w:lang w:val="it-IT"/>
        </w:rPr>
      </w:pPr>
      <w:proofErr w:type="spellStart"/>
      <w:r w:rsidRPr="00F30A3A">
        <w:rPr>
          <w:rFonts w:ascii="Arial" w:hAnsi="Arial" w:cs="Arial"/>
          <w:b/>
          <w:bCs/>
          <w:sz w:val="28"/>
          <w:lang w:val="it-IT"/>
        </w:rPr>
        <w:t>Idarucizumab</w:t>
      </w:r>
      <w:proofErr w:type="spellEnd"/>
    </w:p>
    <w:p w:rsidR="00EE6AF9" w:rsidRPr="00BE6589" w:rsidRDefault="00EE6AF9" w:rsidP="00BE6589">
      <w:pPr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995526" w:rsidRPr="00B8055B" w:rsidRDefault="00995526">
      <w:pPr>
        <w:rPr>
          <w:rFonts w:ascii="Arial" w:hAnsi="Arial" w:cs="Arial"/>
          <w:b/>
          <w:bCs/>
          <w:lang w:val="it-IT"/>
        </w:rPr>
      </w:pPr>
      <w:r w:rsidRPr="00B8055B">
        <w:rPr>
          <w:rFonts w:ascii="Arial" w:hAnsi="Arial" w:cs="Arial"/>
          <w:b/>
          <w:bCs/>
          <w:lang w:val="it-IT"/>
        </w:rPr>
        <w:t>Introduzione e contesto clinico</w:t>
      </w:r>
      <w:r w:rsidR="00590BE0">
        <w:rPr>
          <w:rFonts w:ascii="Arial" w:hAnsi="Arial" w:cs="Arial"/>
          <w:b/>
          <w:bCs/>
          <w:lang w:val="it-IT"/>
        </w:rPr>
        <w:t xml:space="preserve"> di utilizzo</w:t>
      </w:r>
      <w:r w:rsidR="00590BE0" w:rsidRPr="00590BE0">
        <w:rPr>
          <w:rFonts w:ascii="Arial" w:hAnsi="Arial" w:cs="Arial"/>
          <w:b/>
          <w:bCs/>
          <w:lang w:val="it-IT"/>
        </w:rPr>
        <w:t xml:space="preserve"> </w:t>
      </w:r>
      <w:r w:rsidR="00590BE0">
        <w:rPr>
          <w:rFonts w:ascii="Arial" w:hAnsi="Arial" w:cs="Arial"/>
          <w:b/>
          <w:bCs/>
          <w:lang w:val="it-IT"/>
        </w:rPr>
        <w:t>appropriato</w:t>
      </w:r>
    </w:p>
    <w:p w:rsidR="0019196C" w:rsidRPr="00B8055B" w:rsidRDefault="0019196C" w:rsidP="001B5E8F">
      <w:pPr>
        <w:rPr>
          <w:rFonts w:ascii="Arial" w:hAnsi="Arial" w:cs="Arial"/>
          <w:lang w:val="it-IT"/>
        </w:rPr>
      </w:pPr>
      <w:r w:rsidRPr="00B8055B">
        <w:rPr>
          <w:rFonts w:ascii="Arial" w:hAnsi="Arial" w:cs="Arial"/>
          <w:lang w:val="it-IT"/>
        </w:rPr>
        <w:t xml:space="preserve">Gli effetti anticoagulanti di </w:t>
      </w:r>
      <w:proofErr w:type="spellStart"/>
      <w:r w:rsidR="009F2BF3">
        <w:rPr>
          <w:rFonts w:ascii="Arial" w:hAnsi="Arial" w:cs="Arial"/>
          <w:lang w:val="it-IT"/>
        </w:rPr>
        <w:t>dabigatran</w:t>
      </w:r>
      <w:proofErr w:type="spellEnd"/>
      <w:r w:rsidRPr="00B8055B">
        <w:rPr>
          <w:rFonts w:ascii="Arial" w:hAnsi="Arial" w:cs="Arial"/>
          <w:lang w:val="it-IT"/>
        </w:rPr>
        <w:t xml:space="preserve"> sono importanti e salvavita per alcuni pazienti, ma ci sono situazioni in cui è necessario inattivare rapidamente gli effetti del farmaco - ha affermato Richard </w:t>
      </w:r>
      <w:proofErr w:type="spellStart"/>
      <w:r w:rsidRPr="00B8055B">
        <w:rPr>
          <w:rFonts w:ascii="Arial" w:hAnsi="Arial" w:cs="Arial"/>
          <w:lang w:val="it-IT"/>
        </w:rPr>
        <w:t>Pazdur</w:t>
      </w:r>
      <w:proofErr w:type="spellEnd"/>
      <w:r w:rsidRPr="00B8055B">
        <w:rPr>
          <w:rFonts w:ascii="Arial" w:hAnsi="Arial" w:cs="Arial"/>
          <w:lang w:val="it-IT"/>
        </w:rPr>
        <w:t>, Direttore dell'Ufficio dei Prodotti Ematologici e Oncologici del Centro FDA per la Valutazione e la Ricerca sui Farmaci</w:t>
      </w:r>
      <w:r w:rsidRPr="00B8055B">
        <w:rPr>
          <w:rFonts w:ascii="Arial" w:hAnsi="Arial" w:cs="Arial"/>
          <w:vertAlign w:val="superscript"/>
          <w:lang w:val="it-IT"/>
        </w:rPr>
        <w:t>1</w:t>
      </w:r>
      <w:r w:rsidRPr="00B8055B">
        <w:rPr>
          <w:rFonts w:ascii="Arial" w:hAnsi="Arial" w:cs="Arial"/>
          <w:lang w:val="it-IT"/>
        </w:rPr>
        <w:t>.</w:t>
      </w:r>
    </w:p>
    <w:p w:rsidR="00590BE0" w:rsidRPr="00B8055B" w:rsidRDefault="00590BE0" w:rsidP="00590BE0">
      <w:pPr>
        <w:rPr>
          <w:rFonts w:ascii="Arial" w:hAnsi="Arial" w:cs="Arial"/>
          <w:lang w:val="it-IT"/>
        </w:rPr>
      </w:pPr>
      <w:r w:rsidRPr="00B8055B">
        <w:rPr>
          <w:rFonts w:ascii="Arial" w:hAnsi="Arial" w:cs="Arial"/>
          <w:lang w:val="it-IT"/>
        </w:rPr>
        <w:t>Tutte le emergenze hanno molteplici impatti diretti ed indiretti che potrebbero non essere immediatamente evidenti a causa dello stress gestionale, delle incertezze e delle circostanze cliniche ad esse correlate</w:t>
      </w:r>
      <w:r>
        <w:rPr>
          <w:rFonts w:ascii="Arial" w:hAnsi="Arial" w:cs="Arial"/>
          <w:vertAlign w:val="superscript"/>
          <w:lang w:val="it-IT"/>
        </w:rPr>
        <w:t>2</w:t>
      </w:r>
      <w:r w:rsidRPr="00B8055B">
        <w:rPr>
          <w:rFonts w:ascii="Arial" w:hAnsi="Arial" w:cs="Arial"/>
          <w:lang w:val="it-IT"/>
        </w:rPr>
        <w:t xml:space="preserve">. </w:t>
      </w:r>
      <w:r w:rsidRPr="00B8055B">
        <w:rPr>
          <w:rFonts w:ascii="Arial" w:hAnsi="Arial" w:cs="Arial"/>
          <w:b/>
          <w:bCs/>
          <w:lang w:val="it-IT"/>
        </w:rPr>
        <w:t>Nelle emergenze, il rischio diventa dinamico</w:t>
      </w:r>
      <w:r>
        <w:rPr>
          <w:rFonts w:ascii="Arial" w:hAnsi="Arial" w:cs="Arial"/>
          <w:vertAlign w:val="superscript"/>
          <w:lang w:val="it-IT"/>
        </w:rPr>
        <w:t>2</w:t>
      </w:r>
      <w:r w:rsidRPr="00B8055B">
        <w:rPr>
          <w:rFonts w:ascii="Arial" w:hAnsi="Arial" w:cs="Arial"/>
          <w:lang w:val="it-IT"/>
        </w:rPr>
        <w:t>.</w:t>
      </w:r>
    </w:p>
    <w:p w:rsidR="00DE4DB3" w:rsidRPr="00B8055B" w:rsidRDefault="009F2BF3" w:rsidP="00DE4DB3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Idarucizumab</w:t>
      </w:r>
      <w:proofErr w:type="spellEnd"/>
      <w:r w:rsidR="006D108A">
        <w:rPr>
          <w:rFonts w:ascii="Arial" w:hAnsi="Arial" w:cs="Arial"/>
          <w:b/>
          <w:bCs/>
          <w:lang w:val="it-IT"/>
        </w:rPr>
        <w:t xml:space="preserve"> </w:t>
      </w:r>
      <w:r w:rsidR="00DE4DB3" w:rsidRPr="00590BE0">
        <w:rPr>
          <w:rFonts w:ascii="Arial" w:hAnsi="Arial" w:cs="Arial"/>
          <w:b/>
          <w:bCs/>
          <w:lang w:val="it-IT"/>
        </w:rPr>
        <w:t xml:space="preserve">è un </w:t>
      </w:r>
      <w:proofErr w:type="spellStart"/>
      <w:r w:rsidR="00DE4DB3" w:rsidRPr="00590BE0">
        <w:rPr>
          <w:rFonts w:ascii="Arial" w:hAnsi="Arial" w:cs="Arial"/>
          <w:b/>
          <w:bCs/>
          <w:lang w:val="it-IT"/>
        </w:rPr>
        <w:t>inattivatore</w:t>
      </w:r>
      <w:proofErr w:type="spellEnd"/>
      <w:r w:rsidR="00DE4DB3" w:rsidRPr="00590BE0">
        <w:rPr>
          <w:rFonts w:ascii="Arial" w:hAnsi="Arial" w:cs="Arial"/>
          <w:b/>
          <w:bCs/>
          <w:lang w:val="it-IT"/>
        </w:rPr>
        <w:t xml:space="preserve"> specifico per </w:t>
      </w:r>
      <w:proofErr w:type="spellStart"/>
      <w:r w:rsidR="00DE4DB3" w:rsidRPr="00590BE0">
        <w:rPr>
          <w:rFonts w:ascii="Arial" w:hAnsi="Arial" w:cs="Arial"/>
          <w:b/>
          <w:bCs/>
          <w:lang w:val="it-IT"/>
        </w:rPr>
        <w:t>dabigatran</w:t>
      </w:r>
      <w:proofErr w:type="spellEnd"/>
      <w:r w:rsidR="00DE4DB3" w:rsidRPr="00B8055B">
        <w:rPr>
          <w:rFonts w:ascii="Arial" w:hAnsi="Arial" w:cs="Arial"/>
          <w:lang w:val="it-IT"/>
        </w:rPr>
        <w:t xml:space="preserve"> ed è indicato nei pazien</w:t>
      </w:r>
      <w:r>
        <w:rPr>
          <w:rFonts w:ascii="Arial" w:hAnsi="Arial" w:cs="Arial"/>
          <w:lang w:val="it-IT"/>
        </w:rPr>
        <w:t xml:space="preserve">ti adulti trattati con </w:t>
      </w:r>
      <w:proofErr w:type="spellStart"/>
      <w:r w:rsidR="008604C3">
        <w:rPr>
          <w:rFonts w:ascii="Arial" w:hAnsi="Arial" w:cs="Arial"/>
          <w:lang w:val="it-IT"/>
        </w:rPr>
        <w:t>dabigatran</w:t>
      </w:r>
      <w:proofErr w:type="spellEnd"/>
      <w:r w:rsidR="008604C3">
        <w:rPr>
          <w:rFonts w:ascii="Arial" w:hAnsi="Arial" w:cs="Arial"/>
          <w:lang w:val="it-IT"/>
        </w:rPr>
        <w:t xml:space="preserve"> </w:t>
      </w:r>
      <w:proofErr w:type="spellStart"/>
      <w:r w:rsidR="008604C3">
        <w:rPr>
          <w:rFonts w:ascii="Arial" w:hAnsi="Arial" w:cs="Arial"/>
          <w:lang w:val="it-IT"/>
        </w:rPr>
        <w:t>etexilato</w:t>
      </w:r>
      <w:proofErr w:type="spellEnd"/>
      <w:r w:rsidR="00DE4DB3" w:rsidRPr="00B8055B">
        <w:rPr>
          <w:rFonts w:ascii="Arial" w:hAnsi="Arial" w:cs="Arial"/>
          <w:lang w:val="it-IT"/>
        </w:rPr>
        <w:t xml:space="preserve"> nei casi in cui si rende necessaria l’inattivazione rapida dei suoi effetti anticoagulanti</w:t>
      </w:r>
      <w:r w:rsidR="00590BE0">
        <w:rPr>
          <w:rFonts w:ascii="Arial" w:hAnsi="Arial" w:cs="Arial"/>
          <w:vertAlign w:val="superscript"/>
          <w:lang w:val="it-IT"/>
        </w:rPr>
        <w:t>3</w:t>
      </w:r>
      <w:r w:rsidR="00DE4DB3" w:rsidRPr="00B8055B">
        <w:rPr>
          <w:rFonts w:ascii="Arial" w:hAnsi="Arial" w:cs="Arial"/>
          <w:lang w:val="it-IT"/>
        </w:rPr>
        <w:t>:</w:t>
      </w:r>
    </w:p>
    <w:p w:rsidR="00DE4DB3" w:rsidRPr="00B8055B" w:rsidRDefault="00DE4DB3" w:rsidP="00DE4DB3">
      <w:pPr>
        <w:ind w:firstLine="360"/>
        <w:rPr>
          <w:rFonts w:ascii="Arial" w:hAnsi="Arial" w:cs="Arial"/>
          <w:lang w:val="it-IT"/>
        </w:rPr>
      </w:pPr>
      <w:r w:rsidRPr="00B8055B">
        <w:rPr>
          <w:rFonts w:ascii="Arial" w:hAnsi="Arial" w:cs="Arial"/>
          <w:b/>
          <w:bCs/>
          <w:lang w:val="it-IT"/>
        </w:rPr>
        <w:t>1°</w:t>
      </w:r>
      <w:r w:rsidRPr="00B8055B">
        <w:rPr>
          <w:rFonts w:ascii="Arial" w:hAnsi="Arial" w:cs="Arial"/>
          <w:lang w:val="it-IT"/>
        </w:rPr>
        <w:t xml:space="preserve"> Negli interventi chirurgici di emergenza/nelle procedure urgenti</w:t>
      </w:r>
      <w:r w:rsidR="00590BE0">
        <w:rPr>
          <w:rFonts w:ascii="Arial" w:hAnsi="Arial" w:cs="Arial"/>
          <w:vertAlign w:val="superscript"/>
          <w:lang w:val="it-IT"/>
        </w:rPr>
        <w:t>3</w:t>
      </w:r>
    </w:p>
    <w:p w:rsidR="00DE4DB3" w:rsidRPr="00B8055B" w:rsidRDefault="00DE4DB3" w:rsidP="00DE4DB3">
      <w:pPr>
        <w:ind w:firstLine="360"/>
        <w:rPr>
          <w:rFonts w:ascii="Arial" w:hAnsi="Arial" w:cs="Arial"/>
          <w:lang w:val="it-IT"/>
        </w:rPr>
      </w:pPr>
      <w:r w:rsidRPr="00B8055B">
        <w:rPr>
          <w:rFonts w:ascii="Arial" w:hAnsi="Arial" w:cs="Arial"/>
          <w:b/>
          <w:bCs/>
          <w:lang w:val="it-IT"/>
        </w:rPr>
        <w:t>2°</w:t>
      </w:r>
      <w:r w:rsidRPr="00B8055B">
        <w:rPr>
          <w:rFonts w:ascii="Arial" w:hAnsi="Arial" w:cs="Arial"/>
          <w:lang w:val="it-IT"/>
        </w:rPr>
        <w:t xml:space="preserve"> Nel sanguinamento potenzialmente fatale o non controllato</w:t>
      </w:r>
      <w:r w:rsidR="00590BE0">
        <w:rPr>
          <w:rFonts w:ascii="Arial" w:hAnsi="Arial" w:cs="Arial"/>
          <w:vertAlign w:val="superscript"/>
          <w:lang w:val="it-IT"/>
        </w:rPr>
        <w:t>3</w:t>
      </w:r>
      <w:r w:rsidRPr="00B8055B">
        <w:rPr>
          <w:rFonts w:ascii="Arial" w:hAnsi="Arial" w:cs="Arial"/>
          <w:lang w:val="it-IT"/>
        </w:rPr>
        <w:t>.</w:t>
      </w:r>
    </w:p>
    <w:p w:rsidR="0019196C" w:rsidRPr="00B8055B" w:rsidRDefault="0019196C" w:rsidP="0019196C">
      <w:pPr>
        <w:rPr>
          <w:rFonts w:ascii="Arial" w:hAnsi="Arial" w:cs="Arial"/>
          <w:b/>
          <w:bCs/>
          <w:lang w:val="it-IT"/>
        </w:rPr>
      </w:pPr>
      <w:r w:rsidRPr="00B8055B">
        <w:rPr>
          <w:rFonts w:ascii="Arial" w:hAnsi="Arial" w:cs="Arial"/>
          <w:b/>
          <w:bCs/>
          <w:lang w:val="it-IT"/>
        </w:rPr>
        <w:t xml:space="preserve">Nei pazienti trattati con </w:t>
      </w:r>
      <w:proofErr w:type="spellStart"/>
      <w:r w:rsidRPr="00B8055B">
        <w:rPr>
          <w:rFonts w:ascii="Arial" w:hAnsi="Arial" w:cs="Arial"/>
          <w:b/>
          <w:bCs/>
          <w:lang w:val="it-IT"/>
        </w:rPr>
        <w:t>dabigatran</w:t>
      </w:r>
      <w:proofErr w:type="spellEnd"/>
      <w:r w:rsidRPr="00B8055B">
        <w:rPr>
          <w:rFonts w:ascii="Arial" w:hAnsi="Arial" w:cs="Arial"/>
          <w:b/>
          <w:bCs/>
          <w:lang w:val="it-IT"/>
        </w:rPr>
        <w:t xml:space="preserve">, </w:t>
      </w:r>
      <w:proofErr w:type="spellStart"/>
      <w:r w:rsidRPr="00B8055B">
        <w:rPr>
          <w:rFonts w:ascii="Arial" w:hAnsi="Arial" w:cs="Arial"/>
          <w:b/>
          <w:bCs/>
          <w:lang w:val="it-IT"/>
        </w:rPr>
        <w:t>idarucizumab</w:t>
      </w:r>
      <w:proofErr w:type="spellEnd"/>
      <w:r w:rsidRPr="00B8055B">
        <w:rPr>
          <w:rFonts w:ascii="Arial" w:hAnsi="Arial" w:cs="Arial"/>
          <w:b/>
          <w:bCs/>
          <w:lang w:val="it-IT"/>
        </w:rPr>
        <w:t xml:space="preserve"> è l’agente inattivante da preferire appena è disponibile</w:t>
      </w:r>
      <w:r w:rsidRPr="00B8055B">
        <w:rPr>
          <w:rFonts w:ascii="Arial" w:hAnsi="Arial" w:cs="Arial"/>
          <w:vertAlign w:val="superscript"/>
          <w:lang w:val="it-IT"/>
        </w:rPr>
        <w:t>4</w:t>
      </w:r>
      <w:r w:rsidRPr="00B8055B">
        <w:rPr>
          <w:rFonts w:ascii="Arial" w:hAnsi="Arial" w:cs="Arial"/>
          <w:b/>
          <w:bCs/>
          <w:lang w:val="it-IT"/>
        </w:rPr>
        <w:t>.</w:t>
      </w:r>
    </w:p>
    <w:p w:rsidR="00903CC4" w:rsidRDefault="00903CC4" w:rsidP="0019196C">
      <w:pPr>
        <w:rPr>
          <w:rFonts w:ascii="Arial" w:hAnsi="Arial" w:cs="Arial"/>
          <w:b/>
          <w:bCs/>
          <w:lang w:val="it-IT"/>
        </w:rPr>
      </w:pPr>
      <w:r w:rsidRPr="00B8055B">
        <w:rPr>
          <w:rFonts w:ascii="Arial" w:hAnsi="Arial" w:cs="Arial"/>
          <w:lang w:val="it-IT"/>
        </w:rPr>
        <w:t xml:space="preserve">Il Comitato per i Medicinali per Uso umano (CHMP) ha raccomandato la concessione dell’autorizzazione all'immissione in commercio di </w:t>
      </w:r>
      <w:proofErr w:type="spellStart"/>
      <w:r w:rsidR="009F2BF3">
        <w:rPr>
          <w:rFonts w:ascii="Arial" w:hAnsi="Arial" w:cs="Arial"/>
          <w:lang w:val="it-IT"/>
        </w:rPr>
        <w:t>idarucizumab</w:t>
      </w:r>
      <w:proofErr w:type="spellEnd"/>
      <w:r w:rsidRPr="00B8055B">
        <w:rPr>
          <w:rFonts w:ascii="Arial" w:hAnsi="Arial" w:cs="Arial"/>
          <w:lang w:val="it-IT"/>
        </w:rPr>
        <w:t xml:space="preserve"> a seguito di una </w:t>
      </w:r>
      <w:r w:rsidRPr="00B8055B">
        <w:rPr>
          <w:rFonts w:ascii="Arial" w:hAnsi="Arial" w:cs="Arial"/>
          <w:b/>
          <w:bCs/>
          <w:lang w:val="it-IT"/>
        </w:rPr>
        <w:t>valutazione accelerata</w:t>
      </w:r>
      <w:r w:rsidRPr="00B8055B">
        <w:rPr>
          <w:rFonts w:ascii="Arial" w:hAnsi="Arial" w:cs="Arial"/>
          <w:lang w:val="it-IT"/>
        </w:rPr>
        <w:t xml:space="preserve">, procedura che consente di </w:t>
      </w:r>
      <w:r w:rsidRPr="00B8055B">
        <w:rPr>
          <w:rFonts w:ascii="Arial" w:hAnsi="Arial" w:cs="Arial"/>
          <w:b/>
          <w:bCs/>
          <w:lang w:val="it-IT"/>
        </w:rPr>
        <w:t>velocizzare l'accesso dei pazienti ai trattamenti che possono rappresentare un’opzione terapeutica innovativa</w:t>
      </w:r>
      <w:r w:rsidRPr="00B8055B">
        <w:rPr>
          <w:rFonts w:ascii="Arial" w:hAnsi="Arial" w:cs="Arial"/>
          <w:vertAlign w:val="superscript"/>
          <w:lang w:val="it-IT"/>
        </w:rPr>
        <w:t>5</w:t>
      </w:r>
      <w:r w:rsidRPr="00B8055B">
        <w:rPr>
          <w:rFonts w:ascii="Arial" w:hAnsi="Arial" w:cs="Arial"/>
          <w:b/>
          <w:bCs/>
          <w:lang w:val="it-IT"/>
        </w:rPr>
        <w:t>.</w:t>
      </w:r>
    </w:p>
    <w:p w:rsidR="006B7115" w:rsidRDefault="006B7115" w:rsidP="0019196C">
      <w:pPr>
        <w:rPr>
          <w:rFonts w:ascii="Arial" w:hAnsi="Arial" w:cs="Arial"/>
          <w:lang w:val="it-IT"/>
        </w:rPr>
      </w:pPr>
    </w:p>
    <w:p w:rsidR="006B7115" w:rsidRPr="006B7115" w:rsidRDefault="00AD7AD0" w:rsidP="006B7115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Cosa è</w:t>
      </w:r>
      <w:r w:rsidR="006B7115" w:rsidRPr="005E12E7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9F2BF3">
        <w:rPr>
          <w:rFonts w:ascii="Arial" w:hAnsi="Arial" w:cs="Arial"/>
          <w:b/>
          <w:bCs/>
          <w:lang w:val="it-IT"/>
        </w:rPr>
        <w:t>idarucizumab</w:t>
      </w:r>
      <w:proofErr w:type="spellEnd"/>
      <w:r>
        <w:rPr>
          <w:rFonts w:ascii="Arial" w:hAnsi="Arial" w:cs="Arial"/>
          <w:b/>
          <w:bCs/>
          <w:lang w:val="it-IT"/>
        </w:rPr>
        <w:t xml:space="preserve"> e</w:t>
      </w:r>
      <w:r w:rsidR="005E12E7">
        <w:rPr>
          <w:rFonts w:ascii="Arial" w:hAnsi="Arial" w:cs="Arial"/>
          <w:b/>
          <w:bCs/>
          <w:lang w:val="it-IT"/>
        </w:rPr>
        <w:t xml:space="preserve"> qual è il suo m</w:t>
      </w:r>
      <w:r>
        <w:rPr>
          <w:rFonts w:ascii="Arial" w:hAnsi="Arial" w:cs="Arial"/>
          <w:b/>
          <w:bCs/>
          <w:lang w:val="it-IT"/>
        </w:rPr>
        <w:t xml:space="preserve">eccanismo </w:t>
      </w:r>
      <w:r w:rsidR="006B7115" w:rsidRPr="006B7115">
        <w:rPr>
          <w:rFonts w:ascii="Arial" w:hAnsi="Arial" w:cs="Arial"/>
          <w:b/>
          <w:bCs/>
          <w:lang w:val="it-IT"/>
        </w:rPr>
        <w:t>d’azione</w:t>
      </w:r>
    </w:p>
    <w:p w:rsidR="006B7115" w:rsidRDefault="006B7115" w:rsidP="006B7115">
      <w:pPr>
        <w:rPr>
          <w:rFonts w:ascii="Arial" w:hAnsi="Arial" w:cs="Arial"/>
          <w:b/>
          <w:bCs/>
          <w:lang w:val="it-IT"/>
        </w:rPr>
      </w:pPr>
      <w:proofErr w:type="spellStart"/>
      <w:r w:rsidRPr="006B7115">
        <w:rPr>
          <w:rFonts w:ascii="Arial" w:hAnsi="Arial" w:cs="Arial"/>
          <w:lang w:val="it-IT"/>
        </w:rPr>
        <w:t>Idarucizumab</w:t>
      </w:r>
      <w:proofErr w:type="spellEnd"/>
      <w:r w:rsidRPr="006B7115">
        <w:rPr>
          <w:rFonts w:ascii="Arial" w:hAnsi="Arial" w:cs="Arial"/>
          <w:lang w:val="it-IT"/>
        </w:rPr>
        <w:t xml:space="preserve"> è un </w:t>
      </w:r>
      <w:proofErr w:type="spellStart"/>
      <w:r w:rsidRPr="006B7115">
        <w:rPr>
          <w:rFonts w:ascii="Arial" w:hAnsi="Arial" w:cs="Arial"/>
          <w:lang w:val="it-IT"/>
        </w:rPr>
        <w:t>inattivatore</w:t>
      </w:r>
      <w:proofErr w:type="spellEnd"/>
      <w:r w:rsidRPr="006B7115">
        <w:rPr>
          <w:rFonts w:ascii="Arial" w:hAnsi="Arial" w:cs="Arial"/>
          <w:lang w:val="it-IT"/>
        </w:rPr>
        <w:t xml:space="preserve"> specifico per </w:t>
      </w:r>
      <w:proofErr w:type="spellStart"/>
      <w:r w:rsidRPr="006B7115">
        <w:rPr>
          <w:rFonts w:ascii="Arial" w:hAnsi="Arial" w:cs="Arial"/>
          <w:lang w:val="it-IT"/>
        </w:rPr>
        <w:t>dabigatran</w:t>
      </w:r>
      <w:proofErr w:type="spellEnd"/>
      <w:r w:rsidRPr="006B7115">
        <w:rPr>
          <w:rFonts w:ascii="Arial" w:hAnsi="Arial" w:cs="Arial"/>
          <w:lang w:val="it-IT"/>
        </w:rPr>
        <w:t>. È un frammento di anticorpo monoclonale</w:t>
      </w:r>
      <w:r>
        <w:rPr>
          <w:rFonts w:ascii="Arial" w:hAnsi="Arial" w:cs="Arial"/>
          <w:lang w:val="it-IT"/>
        </w:rPr>
        <w:t xml:space="preserve"> </w:t>
      </w:r>
      <w:r w:rsidRPr="006B7115">
        <w:rPr>
          <w:rFonts w:ascii="Arial" w:hAnsi="Arial" w:cs="Arial"/>
          <w:lang w:val="it-IT"/>
        </w:rPr>
        <w:t>umanizzato (</w:t>
      </w:r>
      <w:proofErr w:type="spellStart"/>
      <w:r w:rsidRPr="006B7115">
        <w:rPr>
          <w:rFonts w:ascii="Arial" w:hAnsi="Arial" w:cs="Arial"/>
          <w:lang w:val="it-IT"/>
        </w:rPr>
        <w:t>Fab</w:t>
      </w:r>
      <w:proofErr w:type="spellEnd"/>
      <w:r w:rsidRPr="006B7115">
        <w:rPr>
          <w:rFonts w:ascii="Arial" w:hAnsi="Arial" w:cs="Arial"/>
          <w:lang w:val="it-IT"/>
        </w:rPr>
        <w:t xml:space="preserve">) che si lega con </w:t>
      </w:r>
      <w:r w:rsidRPr="00AD7AD0">
        <w:rPr>
          <w:rFonts w:ascii="Arial" w:hAnsi="Arial" w:cs="Arial"/>
          <w:b/>
          <w:bCs/>
          <w:lang w:val="it-IT"/>
        </w:rPr>
        <w:t xml:space="preserve">altissima affinità a </w:t>
      </w:r>
      <w:proofErr w:type="spellStart"/>
      <w:r w:rsidRPr="00AD7AD0">
        <w:rPr>
          <w:rFonts w:ascii="Arial" w:hAnsi="Arial" w:cs="Arial"/>
          <w:b/>
          <w:bCs/>
          <w:lang w:val="it-IT"/>
        </w:rPr>
        <w:t>dabigatran</w:t>
      </w:r>
      <w:proofErr w:type="spellEnd"/>
      <w:r>
        <w:rPr>
          <w:rFonts w:ascii="Arial" w:hAnsi="Arial" w:cs="Arial"/>
          <w:lang w:val="it-IT"/>
        </w:rPr>
        <w:t xml:space="preserve">, </w:t>
      </w:r>
      <w:r w:rsidRPr="006B7115">
        <w:rPr>
          <w:rFonts w:ascii="Arial" w:hAnsi="Arial" w:cs="Arial"/>
          <w:lang w:val="it-IT"/>
        </w:rPr>
        <w:t>circa 300 volte più potente</w:t>
      </w:r>
      <w:r>
        <w:rPr>
          <w:rFonts w:ascii="Arial" w:hAnsi="Arial" w:cs="Arial"/>
          <w:lang w:val="it-IT"/>
        </w:rPr>
        <w:t xml:space="preserve"> </w:t>
      </w:r>
      <w:r w:rsidRPr="006B7115">
        <w:rPr>
          <w:rFonts w:ascii="Arial" w:hAnsi="Arial" w:cs="Arial"/>
          <w:lang w:val="it-IT"/>
        </w:rPr>
        <w:t xml:space="preserve">dell’affinità di legame di </w:t>
      </w:r>
      <w:proofErr w:type="spellStart"/>
      <w:r w:rsidRPr="006B7115">
        <w:rPr>
          <w:rFonts w:ascii="Arial" w:hAnsi="Arial" w:cs="Arial"/>
          <w:lang w:val="it-IT"/>
        </w:rPr>
        <w:t>dabigatran</w:t>
      </w:r>
      <w:proofErr w:type="spellEnd"/>
      <w:r w:rsidRPr="006B7115">
        <w:rPr>
          <w:rFonts w:ascii="Arial" w:hAnsi="Arial" w:cs="Arial"/>
          <w:lang w:val="it-IT"/>
        </w:rPr>
        <w:t xml:space="preserve"> per la trombina. Il complesso </w:t>
      </w:r>
      <w:proofErr w:type="spellStart"/>
      <w:r w:rsidRPr="006B7115">
        <w:rPr>
          <w:rFonts w:ascii="Arial" w:hAnsi="Arial" w:cs="Arial"/>
          <w:lang w:val="it-IT"/>
        </w:rPr>
        <w:t>idarucizumab-dabigatran</w:t>
      </w:r>
      <w:proofErr w:type="spellEnd"/>
      <w:r w:rsidRPr="006B7115">
        <w:rPr>
          <w:rFonts w:ascii="Arial" w:hAnsi="Arial" w:cs="Arial"/>
          <w:lang w:val="it-IT"/>
        </w:rPr>
        <w:t xml:space="preserve"> è</w:t>
      </w:r>
      <w:r>
        <w:rPr>
          <w:rFonts w:ascii="Arial" w:hAnsi="Arial" w:cs="Arial"/>
          <w:lang w:val="it-IT"/>
        </w:rPr>
        <w:t xml:space="preserve"> </w:t>
      </w:r>
      <w:r w:rsidRPr="006B7115">
        <w:rPr>
          <w:rFonts w:ascii="Arial" w:hAnsi="Arial" w:cs="Arial"/>
          <w:lang w:val="it-IT"/>
        </w:rPr>
        <w:t>caratterizzato da una associazione rapida e da una dissociazione estremamente lenta che lo</w:t>
      </w:r>
      <w:r>
        <w:rPr>
          <w:rFonts w:ascii="Arial" w:hAnsi="Arial" w:cs="Arial"/>
          <w:lang w:val="it-IT"/>
        </w:rPr>
        <w:t xml:space="preserve"> </w:t>
      </w:r>
      <w:r w:rsidRPr="006B7115">
        <w:rPr>
          <w:rFonts w:ascii="Arial" w:hAnsi="Arial" w:cs="Arial"/>
          <w:lang w:val="it-IT"/>
        </w:rPr>
        <w:t xml:space="preserve">rendono un complesso molto stabile. </w:t>
      </w:r>
      <w:proofErr w:type="spellStart"/>
      <w:r w:rsidRPr="00AD7AD0">
        <w:rPr>
          <w:rFonts w:ascii="Arial" w:hAnsi="Arial" w:cs="Arial"/>
          <w:b/>
          <w:bCs/>
          <w:lang w:val="it-IT"/>
        </w:rPr>
        <w:t>Idarucizumab</w:t>
      </w:r>
      <w:proofErr w:type="spellEnd"/>
      <w:r w:rsidRPr="00AD7AD0">
        <w:rPr>
          <w:rFonts w:ascii="Arial" w:hAnsi="Arial" w:cs="Arial"/>
          <w:b/>
          <w:bCs/>
          <w:lang w:val="it-IT"/>
        </w:rPr>
        <w:t xml:space="preserve"> si lega in maniera potente e specifica a </w:t>
      </w:r>
      <w:proofErr w:type="spellStart"/>
      <w:r w:rsidRPr="00AD7AD0">
        <w:rPr>
          <w:rFonts w:ascii="Arial" w:hAnsi="Arial" w:cs="Arial"/>
          <w:b/>
          <w:bCs/>
          <w:lang w:val="it-IT"/>
        </w:rPr>
        <w:t>dabigatran</w:t>
      </w:r>
      <w:proofErr w:type="spellEnd"/>
      <w:r w:rsidRPr="00AD7AD0">
        <w:rPr>
          <w:rFonts w:ascii="Arial" w:hAnsi="Arial" w:cs="Arial"/>
          <w:b/>
          <w:bCs/>
          <w:lang w:val="it-IT"/>
        </w:rPr>
        <w:t xml:space="preserve"> e ai suoi metaboliti e ne neutralizza l’effetto anticoagulante</w:t>
      </w:r>
      <w:r w:rsidR="00590BE0">
        <w:rPr>
          <w:rFonts w:ascii="Arial" w:hAnsi="Arial" w:cs="Arial"/>
          <w:vertAlign w:val="superscript"/>
          <w:lang w:val="it-IT"/>
        </w:rPr>
        <w:t>3</w:t>
      </w:r>
      <w:r w:rsidRPr="006B7115">
        <w:rPr>
          <w:rFonts w:ascii="Arial" w:hAnsi="Arial" w:cs="Arial"/>
          <w:b/>
          <w:bCs/>
          <w:lang w:val="it-IT"/>
        </w:rPr>
        <w:t>.</w:t>
      </w:r>
    </w:p>
    <w:p w:rsidR="005E12E7" w:rsidRPr="00AD7AD0" w:rsidRDefault="005E12E7" w:rsidP="00AD7AD0">
      <w:pPr>
        <w:rPr>
          <w:rFonts w:ascii="Arial" w:hAnsi="Arial" w:cs="Arial"/>
          <w:b/>
          <w:bCs/>
          <w:lang w:val="it-IT"/>
        </w:rPr>
      </w:pPr>
      <w:r w:rsidRPr="00AD7AD0">
        <w:rPr>
          <w:rFonts w:ascii="Arial" w:hAnsi="Arial" w:cs="Arial"/>
          <w:lang w:val="it-IT"/>
        </w:rPr>
        <w:t>L'uso di un</w:t>
      </w:r>
      <w:r w:rsidRPr="00AD7AD0">
        <w:rPr>
          <w:rFonts w:ascii="Arial" w:hAnsi="Arial" w:cs="Arial"/>
          <w:b/>
          <w:bCs/>
          <w:lang w:val="it-IT"/>
        </w:rPr>
        <w:t xml:space="preserve"> </w:t>
      </w:r>
      <w:r w:rsidR="00AD7AD0" w:rsidRPr="00AD7AD0">
        <w:rPr>
          <w:rFonts w:ascii="Arial" w:hAnsi="Arial" w:cs="Arial"/>
          <w:b/>
          <w:bCs/>
          <w:lang w:val="it-IT"/>
        </w:rPr>
        <w:t xml:space="preserve">frammento anticorpale monoclonale </w:t>
      </w:r>
      <w:r w:rsidRPr="00AD7AD0">
        <w:rPr>
          <w:rFonts w:ascii="Arial" w:hAnsi="Arial" w:cs="Arial"/>
          <w:b/>
          <w:bCs/>
          <w:lang w:val="it-IT"/>
        </w:rPr>
        <w:t>umanizzato</w:t>
      </w:r>
      <w:r w:rsidR="00AD7AD0" w:rsidRPr="00AD7AD0">
        <w:rPr>
          <w:rFonts w:ascii="Arial" w:hAnsi="Arial" w:cs="Arial"/>
          <w:b/>
          <w:bCs/>
          <w:lang w:val="it-IT"/>
        </w:rPr>
        <w:t xml:space="preserve">, </w:t>
      </w:r>
      <w:r w:rsidRPr="00AD7AD0">
        <w:rPr>
          <w:rFonts w:ascii="Arial" w:hAnsi="Arial" w:cs="Arial"/>
          <w:b/>
          <w:bCs/>
          <w:lang w:val="it-IT"/>
        </w:rPr>
        <w:t xml:space="preserve"> </w:t>
      </w:r>
      <w:r w:rsidR="00AD7AD0" w:rsidRPr="00AD7AD0">
        <w:rPr>
          <w:rFonts w:ascii="Arial" w:hAnsi="Arial" w:cs="Arial"/>
          <w:lang w:val="it-IT"/>
        </w:rPr>
        <w:t>invece di una molecola anticorpale intera, si associa ad</w:t>
      </w:r>
      <w:r w:rsidRPr="00AD7AD0">
        <w:rPr>
          <w:rFonts w:ascii="Arial" w:hAnsi="Arial" w:cs="Arial"/>
          <w:lang w:val="it-IT"/>
        </w:rPr>
        <w:t xml:space="preserve"> una</w:t>
      </w:r>
      <w:r w:rsidRPr="00AD7AD0">
        <w:rPr>
          <w:rFonts w:ascii="Arial" w:hAnsi="Arial" w:cs="Arial"/>
          <w:b/>
          <w:bCs/>
          <w:lang w:val="it-IT"/>
        </w:rPr>
        <w:t xml:space="preserve"> più breve emivita </w:t>
      </w:r>
      <w:r w:rsidRPr="00AD7AD0">
        <w:rPr>
          <w:rFonts w:ascii="Arial" w:hAnsi="Arial" w:cs="Arial"/>
          <w:lang w:val="it-IT"/>
        </w:rPr>
        <w:t>e</w:t>
      </w:r>
      <w:r w:rsidR="00AD7AD0" w:rsidRPr="00AD7AD0">
        <w:rPr>
          <w:rFonts w:ascii="Arial" w:hAnsi="Arial" w:cs="Arial"/>
          <w:lang w:val="it-IT"/>
        </w:rPr>
        <w:t xml:space="preserve"> ad</w:t>
      </w:r>
      <w:r w:rsidRPr="00AD7AD0">
        <w:rPr>
          <w:rFonts w:ascii="Arial" w:hAnsi="Arial" w:cs="Arial"/>
          <w:lang w:val="it-IT"/>
        </w:rPr>
        <w:t xml:space="preserve"> </w:t>
      </w:r>
      <w:r w:rsidR="00AD7AD0" w:rsidRPr="00AD7AD0">
        <w:rPr>
          <w:rFonts w:ascii="Arial" w:hAnsi="Arial" w:cs="Arial"/>
          <w:lang w:val="it-IT"/>
        </w:rPr>
        <w:t>un</w:t>
      </w:r>
      <w:r w:rsidR="00AD7AD0" w:rsidRPr="00AD7AD0">
        <w:rPr>
          <w:rFonts w:ascii="Arial" w:hAnsi="Arial" w:cs="Arial"/>
          <w:b/>
          <w:bCs/>
          <w:lang w:val="it-IT"/>
        </w:rPr>
        <w:t xml:space="preserve"> </w:t>
      </w:r>
      <w:r w:rsidRPr="00AD7AD0">
        <w:rPr>
          <w:rFonts w:ascii="Arial" w:hAnsi="Arial" w:cs="Arial"/>
          <w:b/>
          <w:bCs/>
          <w:lang w:val="it-IT"/>
        </w:rPr>
        <w:t>ridotto rischio di reazioni immunologiche</w:t>
      </w:r>
      <w:r w:rsidR="00AD7AD0" w:rsidRPr="00AD7AD0">
        <w:rPr>
          <w:rFonts w:ascii="Arial" w:hAnsi="Arial" w:cs="Arial"/>
          <w:b/>
          <w:bCs/>
          <w:vertAlign w:val="superscript"/>
          <w:lang w:val="it-IT"/>
        </w:rPr>
        <w:t>6</w:t>
      </w:r>
      <w:r w:rsidRPr="00AD7AD0">
        <w:rPr>
          <w:rFonts w:ascii="Arial" w:hAnsi="Arial" w:cs="Arial"/>
          <w:b/>
          <w:bCs/>
          <w:lang w:val="it-IT"/>
        </w:rPr>
        <w:t xml:space="preserve">. </w:t>
      </w:r>
    </w:p>
    <w:p w:rsidR="009F2BF3" w:rsidRDefault="009F2BF3" w:rsidP="0019196C">
      <w:pPr>
        <w:rPr>
          <w:rFonts w:ascii="Arial" w:hAnsi="Arial" w:cs="Arial"/>
          <w:b/>
          <w:bCs/>
          <w:lang w:val="it-IT"/>
        </w:rPr>
      </w:pPr>
    </w:p>
    <w:p w:rsidR="008604C3" w:rsidRDefault="008604C3" w:rsidP="0019196C">
      <w:pPr>
        <w:rPr>
          <w:rFonts w:ascii="Arial" w:hAnsi="Arial" w:cs="Arial"/>
          <w:b/>
          <w:bCs/>
          <w:lang w:val="it-IT"/>
        </w:rPr>
      </w:pPr>
    </w:p>
    <w:p w:rsidR="008604C3" w:rsidRDefault="008604C3" w:rsidP="0019196C">
      <w:pPr>
        <w:rPr>
          <w:rFonts w:ascii="Arial" w:hAnsi="Arial" w:cs="Arial"/>
          <w:b/>
          <w:bCs/>
          <w:lang w:val="it-IT"/>
        </w:rPr>
      </w:pPr>
    </w:p>
    <w:p w:rsidR="008604C3" w:rsidRDefault="008604C3" w:rsidP="0019196C">
      <w:pPr>
        <w:rPr>
          <w:rFonts w:ascii="Arial" w:hAnsi="Arial" w:cs="Arial"/>
          <w:b/>
          <w:bCs/>
          <w:lang w:val="it-IT"/>
        </w:rPr>
      </w:pPr>
    </w:p>
    <w:p w:rsidR="00903CC4" w:rsidRPr="00B87807" w:rsidRDefault="008604C3" w:rsidP="0019196C">
      <w:pPr>
        <w:rPr>
          <w:rFonts w:ascii="Arial" w:hAnsi="Arial" w:cs="Arial"/>
          <w:b/>
          <w:bCs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lastRenderedPageBreak/>
        <w:t>Idarucizumab</w:t>
      </w:r>
      <w:proofErr w:type="spellEnd"/>
      <w:r w:rsidR="00590BE0">
        <w:rPr>
          <w:rFonts w:ascii="Arial" w:hAnsi="Arial" w:cs="Arial"/>
          <w:b/>
          <w:bCs/>
          <w:lang w:val="it-IT"/>
        </w:rPr>
        <w:t xml:space="preserve"> e le evidenze di e</w:t>
      </w:r>
      <w:r w:rsidR="00590BE0" w:rsidRPr="00590BE0">
        <w:rPr>
          <w:rFonts w:ascii="Arial" w:hAnsi="Arial" w:cs="Arial"/>
          <w:b/>
          <w:bCs/>
          <w:lang w:val="it-IT"/>
        </w:rPr>
        <w:t>fficacia e sicurezza clinica</w:t>
      </w:r>
    </w:p>
    <w:p w:rsidR="00590BE0" w:rsidRDefault="00590BE0" w:rsidP="00590BE0">
      <w:pPr>
        <w:rPr>
          <w:rFonts w:ascii="Arial" w:hAnsi="Arial" w:cs="Arial"/>
          <w:lang w:val="it-IT"/>
        </w:rPr>
      </w:pPr>
      <w:r w:rsidRPr="00590BE0">
        <w:rPr>
          <w:rFonts w:ascii="Arial" w:hAnsi="Arial" w:cs="Arial"/>
          <w:lang w:val="it-IT"/>
        </w:rPr>
        <w:t xml:space="preserve">Tre studi randomizzati, in doppio cieco, controllati verso placebo di </w:t>
      </w:r>
      <w:r w:rsidRPr="00483CAC">
        <w:rPr>
          <w:rFonts w:ascii="Arial" w:hAnsi="Arial" w:cs="Arial"/>
          <w:b/>
          <w:bCs/>
          <w:lang w:val="it-IT"/>
        </w:rPr>
        <w:t>fase I</w:t>
      </w:r>
      <w:r w:rsidRPr="00590BE0">
        <w:rPr>
          <w:rFonts w:ascii="Arial" w:hAnsi="Arial" w:cs="Arial"/>
          <w:lang w:val="it-IT"/>
        </w:rPr>
        <w:t xml:space="preserve"> sono stati condotti in</w:t>
      </w:r>
      <w:r>
        <w:rPr>
          <w:rFonts w:ascii="Arial" w:hAnsi="Arial" w:cs="Arial"/>
          <w:lang w:val="it-IT"/>
        </w:rPr>
        <w:t xml:space="preserve"> </w:t>
      </w:r>
      <w:r w:rsidRPr="00590BE0">
        <w:rPr>
          <w:rFonts w:ascii="Arial" w:hAnsi="Arial" w:cs="Arial"/>
          <w:lang w:val="it-IT"/>
        </w:rPr>
        <w:t xml:space="preserve">283 soggetti (224 trattati con </w:t>
      </w:r>
      <w:proofErr w:type="spellStart"/>
      <w:r w:rsidRPr="00590BE0">
        <w:rPr>
          <w:rFonts w:ascii="Arial" w:hAnsi="Arial" w:cs="Arial"/>
          <w:lang w:val="it-IT"/>
        </w:rPr>
        <w:t>idarucizumab</w:t>
      </w:r>
      <w:proofErr w:type="spellEnd"/>
      <w:r w:rsidRPr="00590BE0">
        <w:rPr>
          <w:rFonts w:ascii="Arial" w:hAnsi="Arial" w:cs="Arial"/>
          <w:lang w:val="it-IT"/>
        </w:rPr>
        <w:t>) per valutare sicurezza, efficacia, tollerabilità,</w:t>
      </w:r>
      <w:r>
        <w:rPr>
          <w:rFonts w:ascii="Arial" w:hAnsi="Arial" w:cs="Arial"/>
          <w:lang w:val="it-IT"/>
        </w:rPr>
        <w:t xml:space="preserve"> </w:t>
      </w:r>
      <w:r w:rsidRPr="00590BE0">
        <w:rPr>
          <w:rFonts w:ascii="Arial" w:hAnsi="Arial" w:cs="Arial"/>
          <w:lang w:val="it-IT"/>
        </w:rPr>
        <w:t xml:space="preserve">farmacocinetica e farmacodinamica di </w:t>
      </w:r>
      <w:proofErr w:type="spellStart"/>
      <w:r w:rsidRPr="00590BE0">
        <w:rPr>
          <w:rFonts w:ascii="Arial" w:hAnsi="Arial" w:cs="Arial"/>
          <w:lang w:val="it-IT"/>
        </w:rPr>
        <w:t>idarucizumab</w:t>
      </w:r>
      <w:proofErr w:type="spellEnd"/>
      <w:r w:rsidRPr="00590BE0">
        <w:rPr>
          <w:rFonts w:ascii="Arial" w:hAnsi="Arial" w:cs="Arial"/>
          <w:lang w:val="it-IT"/>
        </w:rPr>
        <w:t>, somministrato da solo o dopo la</w:t>
      </w:r>
      <w:r>
        <w:rPr>
          <w:rFonts w:ascii="Arial" w:hAnsi="Arial" w:cs="Arial"/>
          <w:lang w:val="it-IT"/>
        </w:rPr>
        <w:t xml:space="preserve"> </w:t>
      </w:r>
      <w:r w:rsidRPr="00590BE0">
        <w:rPr>
          <w:rFonts w:ascii="Arial" w:hAnsi="Arial" w:cs="Arial"/>
          <w:lang w:val="it-IT"/>
        </w:rPr>
        <w:t xml:space="preserve">somministrazione di </w:t>
      </w:r>
      <w:proofErr w:type="spellStart"/>
      <w:r w:rsidRPr="00590BE0">
        <w:rPr>
          <w:rFonts w:ascii="Arial" w:hAnsi="Arial" w:cs="Arial"/>
          <w:lang w:val="it-IT"/>
        </w:rPr>
        <w:t>dabigatran</w:t>
      </w:r>
      <w:proofErr w:type="spellEnd"/>
      <w:r w:rsidRPr="00590BE0">
        <w:rPr>
          <w:rFonts w:ascii="Arial" w:hAnsi="Arial" w:cs="Arial"/>
          <w:lang w:val="it-IT"/>
        </w:rPr>
        <w:t xml:space="preserve"> etexilato</w:t>
      </w:r>
      <w:r w:rsidR="006B0307">
        <w:rPr>
          <w:rFonts w:ascii="Arial" w:hAnsi="Arial" w:cs="Arial"/>
          <w:vertAlign w:val="superscript"/>
          <w:lang w:val="it-IT"/>
        </w:rPr>
        <w:t>3</w:t>
      </w:r>
      <w:r w:rsidRPr="00590BE0">
        <w:rPr>
          <w:rFonts w:ascii="Arial" w:hAnsi="Arial" w:cs="Arial"/>
          <w:lang w:val="it-IT"/>
        </w:rPr>
        <w:t>. La popolazione studiata era composta da soggetti sani e</w:t>
      </w:r>
      <w:r>
        <w:rPr>
          <w:rFonts w:ascii="Arial" w:hAnsi="Arial" w:cs="Arial"/>
          <w:lang w:val="it-IT"/>
        </w:rPr>
        <w:t xml:space="preserve"> </w:t>
      </w:r>
      <w:r w:rsidRPr="00590BE0">
        <w:rPr>
          <w:rFonts w:ascii="Arial" w:hAnsi="Arial" w:cs="Arial"/>
          <w:lang w:val="it-IT"/>
        </w:rPr>
        <w:t>soggetti che presentavano caratteristiche tipiche della popolazione in termini di età, peso corporeo,</w:t>
      </w:r>
      <w:r>
        <w:rPr>
          <w:rFonts w:ascii="Arial" w:hAnsi="Arial" w:cs="Arial"/>
          <w:lang w:val="it-IT"/>
        </w:rPr>
        <w:t xml:space="preserve"> </w:t>
      </w:r>
      <w:r w:rsidRPr="00590BE0">
        <w:rPr>
          <w:rFonts w:ascii="Arial" w:hAnsi="Arial" w:cs="Arial"/>
          <w:lang w:val="it-IT"/>
        </w:rPr>
        <w:t xml:space="preserve">razza, sesso e compromissione renale. In questi studi le dosi di </w:t>
      </w:r>
      <w:proofErr w:type="spellStart"/>
      <w:r w:rsidRPr="00590BE0">
        <w:rPr>
          <w:rFonts w:ascii="Arial" w:hAnsi="Arial" w:cs="Arial"/>
          <w:lang w:val="it-IT"/>
        </w:rPr>
        <w:t>idarucizumab</w:t>
      </w:r>
      <w:proofErr w:type="spellEnd"/>
      <w:r w:rsidRPr="00590BE0">
        <w:rPr>
          <w:rFonts w:ascii="Arial" w:hAnsi="Arial" w:cs="Arial"/>
          <w:lang w:val="it-IT"/>
        </w:rPr>
        <w:t xml:space="preserve"> variavano da 20 mg a 8 g</w:t>
      </w:r>
      <w:r>
        <w:rPr>
          <w:rFonts w:ascii="Arial" w:hAnsi="Arial" w:cs="Arial"/>
          <w:lang w:val="it-IT"/>
        </w:rPr>
        <w:t xml:space="preserve"> </w:t>
      </w:r>
      <w:r w:rsidRPr="00590BE0">
        <w:rPr>
          <w:rFonts w:ascii="Arial" w:hAnsi="Arial" w:cs="Arial"/>
          <w:lang w:val="it-IT"/>
        </w:rPr>
        <w:t>e i tempi di infusione da 5 minuti a 1 ora.</w:t>
      </w:r>
      <w:r>
        <w:rPr>
          <w:rFonts w:ascii="Arial" w:hAnsi="Arial" w:cs="Arial"/>
          <w:lang w:val="it-IT"/>
        </w:rPr>
        <w:t xml:space="preserve"> </w:t>
      </w:r>
      <w:r w:rsidRPr="00590BE0">
        <w:rPr>
          <w:rFonts w:ascii="Arial" w:hAnsi="Arial" w:cs="Arial"/>
          <w:lang w:val="it-IT"/>
        </w:rPr>
        <w:t>I valori di riferimento per i parametri farmacocinetici e farmacodinamici sono stati stabiliti sulla base</w:t>
      </w:r>
      <w:r>
        <w:rPr>
          <w:rFonts w:ascii="Arial" w:hAnsi="Arial" w:cs="Arial"/>
          <w:lang w:val="it-IT"/>
        </w:rPr>
        <w:t xml:space="preserve"> </w:t>
      </w:r>
      <w:r w:rsidRPr="00590BE0">
        <w:rPr>
          <w:rFonts w:ascii="Arial" w:hAnsi="Arial" w:cs="Arial"/>
          <w:lang w:val="it-IT"/>
        </w:rPr>
        <w:t>dei soggetti sani, di età compresa tra 45 e 64 anni, che riceve</w:t>
      </w:r>
      <w:r w:rsidR="00483CAC">
        <w:rPr>
          <w:rFonts w:ascii="Arial" w:hAnsi="Arial" w:cs="Arial"/>
          <w:lang w:val="it-IT"/>
        </w:rPr>
        <w:t>vano 5 g di idarucizumab</w:t>
      </w:r>
      <w:r w:rsidR="00483CAC">
        <w:rPr>
          <w:rFonts w:ascii="Arial" w:hAnsi="Arial" w:cs="Arial"/>
          <w:vertAlign w:val="superscript"/>
          <w:lang w:val="it-IT"/>
        </w:rPr>
        <w:t>3</w:t>
      </w:r>
      <w:r>
        <w:rPr>
          <w:rFonts w:ascii="Arial" w:hAnsi="Arial" w:cs="Arial"/>
          <w:lang w:val="it-IT"/>
        </w:rPr>
        <w:t xml:space="preserve">.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83CAC" w:rsidRPr="006D108A" w:rsidTr="00F30A3A">
        <w:tc>
          <w:tcPr>
            <w:tcW w:w="10031" w:type="dxa"/>
          </w:tcPr>
          <w:p w:rsidR="00483CAC" w:rsidRDefault="00483CAC" w:rsidP="00483CAC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483CAC" w:rsidRDefault="00483CAC" w:rsidP="00483CAC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sintesi</w:t>
            </w:r>
            <w:r w:rsidRPr="00483CAC">
              <w:rPr>
                <w:rFonts w:ascii="Arial" w:hAnsi="Arial" w:cs="Arial"/>
                <w:lang w:val="it-IT"/>
              </w:rPr>
              <w:t xml:space="preserve">, </w:t>
            </w:r>
            <w:proofErr w:type="spellStart"/>
            <w:r w:rsidRPr="00483CAC">
              <w:rPr>
                <w:rFonts w:ascii="Arial" w:hAnsi="Arial" w:cs="Arial"/>
                <w:lang w:val="it-IT"/>
              </w:rPr>
              <w:t>idarucizumab</w:t>
            </w:r>
            <w:proofErr w:type="spellEnd"/>
            <w:r w:rsidRPr="00483CAC">
              <w:rPr>
                <w:rFonts w:ascii="Arial" w:hAnsi="Arial" w:cs="Arial"/>
                <w:lang w:val="it-IT"/>
              </w:rPr>
              <w:t xml:space="preserve"> è stato testato in </w:t>
            </w:r>
            <w:r>
              <w:rPr>
                <w:rFonts w:ascii="Arial" w:hAnsi="Arial" w:cs="Arial"/>
                <w:lang w:val="it-IT"/>
              </w:rPr>
              <w:t>oltre</w:t>
            </w:r>
            <w:r w:rsidRPr="00483CAC">
              <w:rPr>
                <w:rFonts w:ascii="Arial" w:hAnsi="Arial" w:cs="Arial"/>
                <w:lang w:val="it-IT"/>
              </w:rPr>
              <w:t xml:space="preserve"> 200 volontari e</w:t>
            </w:r>
            <w:r>
              <w:rPr>
                <w:rFonts w:ascii="Arial" w:hAnsi="Arial" w:cs="Arial"/>
                <w:lang w:val="it-IT"/>
              </w:rPr>
              <w:t>d</w:t>
            </w:r>
            <w:r w:rsidR="006D108A">
              <w:rPr>
                <w:rFonts w:ascii="Arial" w:hAnsi="Arial" w:cs="Arial"/>
                <w:lang w:val="it-IT"/>
              </w:rPr>
              <w:t xml:space="preserve"> </w:t>
            </w:r>
            <w:r w:rsidRPr="00483CAC">
              <w:rPr>
                <w:rFonts w:ascii="Arial" w:hAnsi="Arial" w:cs="Arial"/>
                <w:lang w:val="it-IT"/>
              </w:rPr>
              <w:t>è stato b</w:t>
            </w:r>
            <w:r>
              <w:rPr>
                <w:rFonts w:ascii="Arial" w:hAnsi="Arial" w:cs="Arial"/>
                <w:lang w:val="it-IT"/>
              </w:rPr>
              <w:t>en tollerato in dosi fino a 8 g.</w:t>
            </w:r>
          </w:p>
          <w:p w:rsidR="006D108A" w:rsidRDefault="00483CAC" w:rsidP="00483CAC">
            <w:pPr>
              <w:jc w:val="center"/>
              <w:rPr>
                <w:rFonts w:ascii="Arial" w:hAnsi="Arial" w:cs="Arial"/>
                <w:lang w:val="it-IT"/>
              </w:rPr>
            </w:pPr>
            <w:r w:rsidRPr="00483CAC">
              <w:rPr>
                <w:rFonts w:ascii="Arial" w:hAnsi="Arial" w:cs="Arial"/>
                <w:lang w:val="it-IT"/>
              </w:rPr>
              <w:t xml:space="preserve">Non ci sono </w:t>
            </w:r>
            <w:r w:rsidR="000C2E96">
              <w:rPr>
                <w:rFonts w:ascii="Arial" w:hAnsi="Arial" w:cs="Arial"/>
                <w:lang w:val="it-IT"/>
              </w:rPr>
              <w:t xml:space="preserve">state </w:t>
            </w:r>
            <w:r w:rsidRPr="00483CAC">
              <w:rPr>
                <w:rFonts w:ascii="Arial" w:hAnsi="Arial" w:cs="Arial"/>
                <w:lang w:val="it-IT"/>
              </w:rPr>
              <w:t>reazioni di ipersensibilità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EF0913">
              <w:rPr>
                <w:rFonts w:ascii="Arial" w:hAnsi="Arial" w:cs="Arial"/>
                <w:lang w:val="it-IT"/>
              </w:rPr>
              <w:t>nè</w:t>
            </w:r>
            <w:proofErr w:type="spellEnd"/>
            <w:r w:rsidR="000C2E96">
              <w:rPr>
                <w:rFonts w:ascii="Arial" w:hAnsi="Arial" w:cs="Arial"/>
                <w:lang w:val="it-IT"/>
              </w:rPr>
              <w:t xml:space="preserve"> sono state riportate</w:t>
            </w:r>
          </w:p>
          <w:p w:rsidR="00483CAC" w:rsidRPr="006B7115" w:rsidRDefault="00483CAC" w:rsidP="00483CAC">
            <w:pPr>
              <w:jc w:val="center"/>
              <w:rPr>
                <w:rFonts w:ascii="Arial" w:hAnsi="Arial" w:cs="Arial"/>
                <w:lang w:val="it-IT"/>
              </w:rPr>
            </w:pPr>
            <w:r w:rsidRPr="00483CAC">
              <w:rPr>
                <w:rFonts w:ascii="Arial" w:hAnsi="Arial" w:cs="Arial"/>
                <w:lang w:val="it-IT"/>
              </w:rPr>
              <w:t xml:space="preserve">gravi reazioni di anticorpi </w:t>
            </w:r>
            <w:r>
              <w:rPr>
                <w:rFonts w:ascii="Arial" w:hAnsi="Arial" w:cs="Arial"/>
                <w:lang w:val="it-IT"/>
              </w:rPr>
              <w:t>antifarmaco</w:t>
            </w:r>
            <w:r w:rsidRPr="00483CAC">
              <w:rPr>
                <w:rFonts w:ascii="Arial" w:hAnsi="Arial" w:cs="Arial"/>
                <w:vertAlign w:val="superscript"/>
                <w:lang w:val="it-IT"/>
              </w:rPr>
              <w:t>6</w:t>
            </w:r>
            <w:r>
              <w:rPr>
                <w:rFonts w:ascii="Arial" w:hAnsi="Arial" w:cs="Arial"/>
                <w:lang w:val="it-IT"/>
              </w:rPr>
              <w:t>.</w:t>
            </w:r>
          </w:p>
          <w:p w:rsidR="00483CAC" w:rsidRDefault="00483CAC" w:rsidP="00990B51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:rsidR="00483CAC" w:rsidRDefault="00483CAC" w:rsidP="00590BE0">
      <w:pPr>
        <w:rPr>
          <w:rFonts w:ascii="Arial" w:hAnsi="Arial" w:cs="Arial"/>
          <w:lang w:val="it-IT"/>
        </w:rPr>
      </w:pPr>
    </w:p>
    <w:p w:rsidR="00590BE0" w:rsidRDefault="00483CAC" w:rsidP="001D1758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Alla data di stesura del presente documento, u</w:t>
      </w:r>
      <w:r w:rsidR="00590BE0" w:rsidRPr="00590BE0">
        <w:rPr>
          <w:rFonts w:ascii="Arial" w:hAnsi="Arial" w:cs="Arial"/>
          <w:lang w:val="it-IT"/>
        </w:rPr>
        <w:t>no studio prospettico, in aperto, non randomizzato, non controllato (RE-VERSE AD)</w:t>
      </w:r>
      <w:r>
        <w:rPr>
          <w:rFonts w:ascii="Arial" w:hAnsi="Arial" w:cs="Arial"/>
          <w:lang w:val="it-IT"/>
        </w:rPr>
        <w:t xml:space="preserve">, </w:t>
      </w:r>
      <w:r w:rsidR="00590BE0" w:rsidRPr="00590BE0">
        <w:rPr>
          <w:rFonts w:ascii="Arial" w:hAnsi="Arial" w:cs="Arial"/>
          <w:lang w:val="it-IT"/>
        </w:rPr>
        <w:t>è attualmente</w:t>
      </w:r>
      <w:r w:rsidR="00590BE0">
        <w:rPr>
          <w:rFonts w:ascii="Arial" w:hAnsi="Arial" w:cs="Arial"/>
          <w:lang w:val="it-IT"/>
        </w:rPr>
        <w:t xml:space="preserve"> </w:t>
      </w:r>
      <w:r w:rsidR="00590BE0" w:rsidRPr="00590BE0">
        <w:rPr>
          <w:rFonts w:ascii="Arial" w:hAnsi="Arial" w:cs="Arial"/>
          <w:lang w:val="it-IT"/>
        </w:rPr>
        <w:t>in corso per valutare il trattamento dei pazienti adulti che presentano sanguinamento correlato a</w:t>
      </w:r>
      <w:r w:rsidR="00590BE0">
        <w:rPr>
          <w:rFonts w:ascii="Arial" w:hAnsi="Arial" w:cs="Arial"/>
          <w:lang w:val="it-IT"/>
        </w:rPr>
        <w:t xml:space="preserve"> </w:t>
      </w:r>
      <w:proofErr w:type="spellStart"/>
      <w:r w:rsidR="00590BE0" w:rsidRPr="00590BE0">
        <w:rPr>
          <w:rFonts w:ascii="Arial" w:hAnsi="Arial" w:cs="Arial"/>
          <w:lang w:val="it-IT"/>
        </w:rPr>
        <w:t>dabigatran</w:t>
      </w:r>
      <w:proofErr w:type="spellEnd"/>
      <w:r w:rsidR="00590BE0" w:rsidRPr="00590BE0">
        <w:rPr>
          <w:rFonts w:ascii="Arial" w:hAnsi="Arial" w:cs="Arial"/>
          <w:lang w:val="it-IT"/>
        </w:rPr>
        <w:t>, potenzialmente fatale o non controllato (Gruppo A) o per i quali si rendono necessari</w:t>
      </w:r>
      <w:r w:rsidR="00590BE0">
        <w:rPr>
          <w:rFonts w:ascii="Arial" w:hAnsi="Arial" w:cs="Arial"/>
          <w:lang w:val="it-IT"/>
        </w:rPr>
        <w:t xml:space="preserve"> i</w:t>
      </w:r>
      <w:r w:rsidR="00590BE0" w:rsidRPr="00590BE0">
        <w:rPr>
          <w:rFonts w:ascii="Arial" w:hAnsi="Arial" w:cs="Arial"/>
          <w:lang w:val="it-IT"/>
        </w:rPr>
        <w:t>nterventi chirurgici di emergenza o procedure d’urgenza (Gruppo B)</w:t>
      </w:r>
      <w:r w:rsidRPr="00483CAC">
        <w:rPr>
          <w:rFonts w:ascii="Arial" w:hAnsi="Arial" w:cs="Arial"/>
          <w:vertAlign w:val="superscript"/>
          <w:lang w:val="it-IT"/>
        </w:rPr>
        <w:t xml:space="preserve"> </w:t>
      </w:r>
      <w:r>
        <w:rPr>
          <w:rFonts w:ascii="Arial" w:hAnsi="Arial" w:cs="Arial"/>
          <w:vertAlign w:val="superscript"/>
          <w:lang w:val="it-IT"/>
        </w:rPr>
        <w:t>3</w:t>
      </w:r>
      <w:r w:rsidR="00590BE0" w:rsidRPr="00590BE0">
        <w:rPr>
          <w:rFonts w:ascii="Arial" w:hAnsi="Arial" w:cs="Arial"/>
          <w:lang w:val="it-IT"/>
        </w:rPr>
        <w:t xml:space="preserve">. </w:t>
      </w:r>
      <w:r w:rsidR="001D1758">
        <w:rPr>
          <w:rFonts w:ascii="Arial" w:hAnsi="Arial" w:cs="Arial" w:hint="eastAsia"/>
          <w:lang w:val="it-IT"/>
        </w:rPr>
        <w:t xml:space="preserve">Si </w:t>
      </w:r>
      <w:r w:rsidR="001D1758">
        <w:rPr>
          <w:rFonts w:ascii="Arial" w:hAnsi="Arial" w:cs="Arial"/>
          <w:lang w:val="it-IT"/>
        </w:rPr>
        <w:t xml:space="preserve">stima che circa </w:t>
      </w:r>
      <w:r w:rsidR="001D1758" w:rsidRPr="001D1758">
        <w:rPr>
          <w:rFonts w:ascii="Arial" w:hAnsi="Arial" w:cs="Arial" w:hint="eastAsia"/>
          <w:lang w:val="it-IT"/>
        </w:rPr>
        <w:t>500</w:t>
      </w:r>
      <w:r w:rsidR="001D1758">
        <w:rPr>
          <w:rFonts w:ascii="Arial" w:hAnsi="Arial" w:cs="Arial"/>
          <w:lang w:val="it-IT"/>
        </w:rPr>
        <w:t xml:space="preserve"> </w:t>
      </w:r>
      <w:r w:rsidR="001D1758" w:rsidRPr="001D1758">
        <w:rPr>
          <w:rFonts w:ascii="Arial" w:hAnsi="Arial" w:cs="Arial"/>
          <w:lang w:val="it-IT"/>
        </w:rPr>
        <w:t>paz</w:t>
      </w:r>
      <w:r w:rsidR="001D1758">
        <w:rPr>
          <w:rFonts w:ascii="Arial" w:hAnsi="Arial" w:cs="Arial"/>
          <w:lang w:val="it-IT"/>
        </w:rPr>
        <w:t>ienti provenienti da 400 centri a livello internazionale, verranno complessivamente arruolati in questo studio clinico che completerà il reclutamento durante l’anno 2016</w:t>
      </w:r>
      <w:r w:rsidR="001D1758" w:rsidRPr="00483CAC">
        <w:rPr>
          <w:rFonts w:ascii="Arial" w:hAnsi="Arial" w:cs="Arial"/>
          <w:vertAlign w:val="superscript"/>
          <w:lang w:val="it-IT"/>
        </w:rPr>
        <w:t>6</w:t>
      </w:r>
      <w:r w:rsidR="001D1758">
        <w:rPr>
          <w:rFonts w:ascii="Arial" w:hAnsi="Arial" w:cs="Arial"/>
          <w:lang w:val="it-IT"/>
        </w:rPr>
        <w:t xml:space="preserve">. </w:t>
      </w:r>
      <w:r w:rsidR="00590BE0" w:rsidRPr="00590BE0">
        <w:rPr>
          <w:rFonts w:ascii="Arial" w:hAnsi="Arial" w:cs="Arial"/>
          <w:lang w:val="it-IT"/>
        </w:rPr>
        <w:t>L’</w:t>
      </w:r>
      <w:proofErr w:type="spellStart"/>
      <w:r w:rsidR="00590BE0" w:rsidRPr="00590BE0">
        <w:rPr>
          <w:rFonts w:ascii="Arial" w:hAnsi="Arial" w:cs="Arial"/>
          <w:lang w:val="it-IT"/>
        </w:rPr>
        <w:t>endpoint</w:t>
      </w:r>
      <w:proofErr w:type="spellEnd"/>
      <w:r w:rsidR="00590BE0" w:rsidRPr="00590BE0">
        <w:rPr>
          <w:rFonts w:ascii="Arial" w:hAnsi="Arial" w:cs="Arial"/>
          <w:lang w:val="it-IT"/>
        </w:rPr>
        <w:t xml:space="preserve"> primario è la</w:t>
      </w:r>
      <w:r w:rsidR="00590BE0">
        <w:rPr>
          <w:rFonts w:ascii="Arial" w:hAnsi="Arial" w:cs="Arial"/>
          <w:lang w:val="it-IT"/>
        </w:rPr>
        <w:t xml:space="preserve"> </w:t>
      </w:r>
      <w:r w:rsidR="00590BE0" w:rsidRPr="00590BE0">
        <w:rPr>
          <w:rFonts w:ascii="Arial" w:hAnsi="Arial" w:cs="Arial"/>
          <w:lang w:val="it-IT"/>
        </w:rPr>
        <w:t xml:space="preserve">percentuale massima di inattivazione dell’effetto anticoagulante di </w:t>
      </w:r>
      <w:proofErr w:type="spellStart"/>
      <w:r w:rsidR="00590BE0" w:rsidRPr="00590BE0">
        <w:rPr>
          <w:rFonts w:ascii="Arial" w:hAnsi="Arial" w:cs="Arial"/>
          <w:lang w:val="it-IT"/>
        </w:rPr>
        <w:t>dabigatran</w:t>
      </w:r>
      <w:proofErr w:type="spellEnd"/>
      <w:r w:rsidR="00590BE0" w:rsidRPr="00590BE0">
        <w:rPr>
          <w:rFonts w:ascii="Arial" w:hAnsi="Arial" w:cs="Arial"/>
          <w:lang w:val="it-IT"/>
        </w:rPr>
        <w:t xml:space="preserve"> nelle 4 ore successive</w:t>
      </w:r>
      <w:r w:rsidR="00590BE0">
        <w:rPr>
          <w:rFonts w:ascii="Arial" w:hAnsi="Arial" w:cs="Arial"/>
          <w:lang w:val="it-IT"/>
        </w:rPr>
        <w:t xml:space="preserve"> </w:t>
      </w:r>
      <w:r w:rsidR="00590BE0" w:rsidRPr="00590BE0">
        <w:rPr>
          <w:rFonts w:ascii="Arial" w:hAnsi="Arial" w:cs="Arial"/>
          <w:lang w:val="it-IT"/>
        </w:rPr>
        <w:t xml:space="preserve">alla somministrazione di </w:t>
      </w:r>
      <w:proofErr w:type="spellStart"/>
      <w:r w:rsidR="00590BE0" w:rsidRPr="00590BE0">
        <w:rPr>
          <w:rFonts w:ascii="Arial" w:hAnsi="Arial" w:cs="Arial"/>
          <w:lang w:val="it-IT"/>
        </w:rPr>
        <w:t>idarucizumab</w:t>
      </w:r>
      <w:proofErr w:type="spellEnd"/>
      <w:r w:rsidR="00590BE0" w:rsidRPr="00590BE0">
        <w:rPr>
          <w:rFonts w:ascii="Arial" w:hAnsi="Arial" w:cs="Arial"/>
          <w:lang w:val="it-IT"/>
        </w:rPr>
        <w:t>, sulla base della determinazione del tempo di trombina su</w:t>
      </w:r>
      <w:r w:rsidR="00590BE0">
        <w:rPr>
          <w:rFonts w:ascii="Arial" w:hAnsi="Arial" w:cs="Arial"/>
          <w:lang w:val="it-IT"/>
        </w:rPr>
        <w:t xml:space="preserve"> </w:t>
      </w:r>
      <w:r w:rsidR="00590BE0" w:rsidRPr="00590BE0">
        <w:rPr>
          <w:rFonts w:ascii="Arial" w:hAnsi="Arial" w:cs="Arial"/>
          <w:lang w:val="it-IT"/>
        </w:rPr>
        <w:t>plasma diluito (</w:t>
      </w:r>
      <w:proofErr w:type="spellStart"/>
      <w:r w:rsidR="00590BE0" w:rsidRPr="00590BE0">
        <w:rPr>
          <w:rFonts w:ascii="Arial" w:hAnsi="Arial" w:cs="Arial"/>
          <w:lang w:val="it-IT"/>
        </w:rPr>
        <w:t>dTT</w:t>
      </w:r>
      <w:proofErr w:type="spellEnd"/>
      <w:r w:rsidR="00590BE0" w:rsidRPr="00590BE0">
        <w:rPr>
          <w:rFonts w:ascii="Arial" w:hAnsi="Arial" w:cs="Arial"/>
          <w:lang w:val="it-IT"/>
        </w:rPr>
        <w:t xml:space="preserve">) o del tempo di </w:t>
      </w:r>
      <w:proofErr w:type="spellStart"/>
      <w:r w:rsidR="00590BE0" w:rsidRPr="00590BE0">
        <w:rPr>
          <w:rFonts w:ascii="Arial" w:hAnsi="Arial" w:cs="Arial"/>
          <w:lang w:val="it-IT"/>
        </w:rPr>
        <w:t>ecarina</w:t>
      </w:r>
      <w:proofErr w:type="spellEnd"/>
      <w:r w:rsidR="00590BE0" w:rsidRPr="00590BE0">
        <w:rPr>
          <w:rFonts w:ascii="Arial" w:hAnsi="Arial" w:cs="Arial"/>
          <w:lang w:val="it-IT"/>
        </w:rPr>
        <w:t xml:space="preserve"> (ECT) effettuata dal laboratorio centrale. Un </w:t>
      </w:r>
      <w:proofErr w:type="spellStart"/>
      <w:r w:rsidR="00590BE0" w:rsidRPr="00590BE0">
        <w:rPr>
          <w:rFonts w:ascii="Arial" w:hAnsi="Arial" w:cs="Arial"/>
          <w:lang w:val="it-IT"/>
        </w:rPr>
        <w:t>endpoint</w:t>
      </w:r>
      <w:proofErr w:type="spellEnd"/>
      <w:r w:rsidR="00590BE0">
        <w:rPr>
          <w:rFonts w:ascii="Arial" w:hAnsi="Arial" w:cs="Arial"/>
          <w:lang w:val="it-IT"/>
        </w:rPr>
        <w:t xml:space="preserve"> </w:t>
      </w:r>
      <w:r w:rsidR="00590BE0" w:rsidRPr="00590BE0">
        <w:rPr>
          <w:rFonts w:ascii="Arial" w:hAnsi="Arial" w:cs="Arial"/>
          <w:lang w:val="it-IT"/>
        </w:rPr>
        <w:t>secondario rilevante è il ripristino dell’emostasi</w:t>
      </w:r>
      <w:r>
        <w:rPr>
          <w:rFonts w:ascii="Arial" w:hAnsi="Arial" w:cs="Arial"/>
          <w:vertAlign w:val="superscript"/>
          <w:lang w:val="it-IT"/>
        </w:rPr>
        <w:t>3</w:t>
      </w:r>
      <w:r w:rsidR="00590BE0" w:rsidRPr="00590BE0">
        <w:rPr>
          <w:rFonts w:ascii="Arial" w:hAnsi="Arial" w:cs="Arial"/>
          <w:lang w:val="it-IT"/>
        </w:rPr>
        <w:t>.</w:t>
      </w:r>
    </w:p>
    <w:p w:rsidR="00ED0831" w:rsidRPr="00D16606" w:rsidRDefault="001D1758" w:rsidP="00ED0831">
      <w:pPr>
        <w:rPr>
          <w:rFonts w:ascii="Arial" w:hAnsi="Arial" w:cs="Arial"/>
          <w:vertAlign w:val="superscript"/>
          <w:lang w:val="it-IT"/>
        </w:rPr>
      </w:pPr>
      <w:r w:rsidRPr="001D1758">
        <w:rPr>
          <w:rFonts w:ascii="Arial" w:hAnsi="Arial" w:cs="Arial"/>
          <w:lang w:val="it-IT"/>
        </w:rPr>
        <w:t xml:space="preserve">La mediana </w:t>
      </w:r>
      <w:r w:rsidR="009C2489">
        <w:rPr>
          <w:rFonts w:ascii="Arial" w:hAnsi="Arial" w:cs="Arial"/>
          <w:lang w:val="it-IT"/>
        </w:rPr>
        <w:t xml:space="preserve">di </w:t>
      </w:r>
      <w:r w:rsidR="009C2489" w:rsidRPr="001D1758">
        <w:rPr>
          <w:rFonts w:ascii="Arial" w:hAnsi="Arial" w:cs="Arial"/>
          <w:lang w:val="it-IT"/>
        </w:rPr>
        <w:t>massima percentuale</w:t>
      </w:r>
      <w:r w:rsidR="009C2489">
        <w:rPr>
          <w:rFonts w:ascii="Arial" w:hAnsi="Arial" w:cs="Arial"/>
          <w:lang w:val="it-IT"/>
        </w:rPr>
        <w:t xml:space="preserve"> di inattivazione nei </w:t>
      </w:r>
      <w:r w:rsidRPr="001D1758">
        <w:rPr>
          <w:rFonts w:ascii="Arial" w:hAnsi="Arial" w:cs="Arial"/>
          <w:lang w:val="it-IT"/>
        </w:rPr>
        <w:t>pazienti del gruppo A e in quelli del gruppo B</w:t>
      </w:r>
      <w:r w:rsidR="009C2489">
        <w:rPr>
          <w:rFonts w:ascii="Arial" w:hAnsi="Arial" w:cs="Arial"/>
          <w:lang w:val="it-IT"/>
        </w:rPr>
        <w:t xml:space="preserve"> è stata del 100% (intervallo di confidenza 95 %, 100 a 100)</w:t>
      </w:r>
      <w:r w:rsidRPr="001D1758">
        <w:rPr>
          <w:rFonts w:ascii="Arial" w:hAnsi="Arial" w:cs="Arial"/>
          <w:lang w:val="it-IT"/>
        </w:rPr>
        <w:t>,</w:t>
      </w:r>
      <w:r w:rsidR="009C2489">
        <w:rPr>
          <w:rFonts w:ascii="Arial" w:hAnsi="Arial" w:cs="Arial"/>
          <w:lang w:val="it-IT"/>
        </w:rPr>
        <w:t xml:space="preserve"> </w:t>
      </w:r>
      <w:r w:rsidRPr="001D1758">
        <w:rPr>
          <w:rFonts w:ascii="Arial" w:hAnsi="Arial" w:cs="Arial"/>
          <w:lang w:val="it-IT"/>
        </w:rPr>
        <w:t xml:space="preserve">valutata sia dal </w:t>
      </w:r>
      <w:r w:rsidR="009C2489">
        <w:rPr>
          <w:rFonts w:ascii="Arial" w:hAnsi="Arial" w:cs="Arial"/>
          <w:lang w:val="it-IT"/>
        </w:rPr>
        <w:t xml:space="preserve">test del </w:t>
      </w:r>
      <w:r w:rsidR="009C2489" w:rsidRPr="009C2489">
        <w:rPr>
          <w:rFonts w:ascii="Arial" w:hAnsi="Arial" w:cs="Arial"/>
          <w:lang w:val="it-IT"/>
        </w:rPr>
        <w:t>tempo di trombina su plasma diluito</w:t>
      </w:r>
      <w:r w:rsidR="009C2489">
        <w:rPr>
          <w:rFonts w:ascii="Arial" w:hAnsi="Arial" w:cs="Arial"/>
          <w:lang w:val="it-IT"/>
        </w:rPr>
        <w:t xml:space="preserve"> (</w:t>
      </w:r>
      <w:proofErr w:type="spellStart"/>
      <w:r w:rsidR="009C2489">
        <w:rPr>
          <w:rFonts w:ascii="Arial" w:hAnsi="Arial" w:cs="Arial"/>
          <w:lang w:val="it-IT"/>
        </w:rPr>
        <w:t>dTT</w:t>
      </w:r>
      <w:proofErr w:type="spellEnd"/>
      <w:r w:rsidR="009C2489">
        <w:rPr>
          <w:rFonts w:ascii="Arial" w:hAnsi="Arial" w:cs="Arial"/>
          <w:lang w:val="it-IT"/>
        </w:rPr>
        <w:t xml:space="preserve">) sia dal test del tempo di </w:t>
      </w:r>
      <w:proofErr w:type="spellStart"/>
      <w:r w:rsidR="009C2489">
        <w:rPr>
          <w:rFonts w:ascii="Arial" w:hAnsi="Arial" w:cs="Arial"/>
          <w:lang w:val="it-IT"/>
        </w:rPr>
        <w:t>ecarina</w:t>
      </w:r>
      <w:proofErr w:type="spellEnd"/>
      <w:r w:rsidR="009C2489">
        <w:rPr>
          <w:rFonts w:ascii="Arial" w:hAnsi="Arial" w:cs="Arial"/>
          <w:lang w:val="it-IT"/>
        </w:rPr>
        <w:t xml:space="preserve"> (ECT), con una inattivazione evidente sul campione prelevato </w:t>
      </w:r>
      <w:r w:rsidRPr="001D1758">
        <w:rPr>
          <w:rFonts w:ascii="Arial" w:hAnsi="Arial" w:cs="Arial"/>
          <w:lang w:val="it-IT"/>
        </w:rPr>
        <w:t>dopo la prima infusione</w:t>
      </w:r>
      <w:r w:rsidR="00D16606">
        <w:rPr>
          <w:rFonts w:ascii="Arial" w:hAnsi="Arial" w:cs="Arial"/>
          <w:vertAlign w:val="superscript"/>
          <w:lang w:val="it-IT"/>
        </w:rPr>
        <w:t>7</w:t>
      </w:r>
      <w:r w:rsidR="009C2489">
        <w:rPr>
          <w:rFonts w:ascii="Arial" w:hAnsi="Arial" w:cs="Arial"/>
          <w:lang w:val="it-IT"/>
        </w:rPr>
        <w:t>.</w:t>
      </w:r>
    </w:p>
    <w:p w:rsidR="00D16606" w:rsidRDefault="00D16606" w:rsidP="00ED0831">
      <w:pPr>
        <w:rPr>
          <w:rFonts w:ascii="Arial" w:hAnsi="Arial" w:cs="Arial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D0831" w:rsidRPr="006D108A" w:rsidTr="00990B51">
        <w:tc>
          <w:tcPr>
            <w:tcW w:w="9854" w:type="dxa"/>
          </w:tcPr>
          <w:p w:rsidR="00ED0831" w:rsidRDefault="00ED0831" w:rsidP="00990B51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ED0831" w:rsidRPr="006B7115" w:rsidRDefault="00161B7C" w:rsidP="00161B7C">
            <w:pPr>
              <w:jc w:val="center"/>
              <w:rPr>
                <w:rFonts w:ascii="Arial" w:hAnsi="Arial" w:cs="Arial"/>
                <w:lang w:val="it-IT"/>
              </w:rPr>
            </w:pPr>
            <w:r w:rsidRPr="0070471C">
              <w:rPr>
                <w:rFonts w:ascii="Arial" w:hAnsi="Arial" w:cs="Arial"/>
                <w:lang w:val="it-IT"/>
              </w:rPr>
              <w:t xml:space="preserve">L'analisi ad interim dei primi 90 pazienti dello studio </w:t>
            </w:r>
            <w:r w:rsidRPr="0070471C">
              <w:rPr>
                <w:rFonts w:ascii="Arial" w:hAnsi="Arial" w:cs="Arial"/>
                <w:b/>
                <w:bCs/>
                <w:lang w:val="it-IT"/>
              </w:rPr>
              <w:t>REVERSE AD</w:t>
            </w:r>
            <w:r w:rsidRPr="0070471C">
              <w:rPr>
                <w:rFonts w:ascii="Arial" w:hAnsi="Arial" w:cs="Arial"/>
                <w:lang w:val="it-IT"/>
              </w:rPr>
              <w:t xml:space="preserve"> ha dimostrato che</w:t>
            </w:r>
            <w:r w:rsidRPr="00161B7C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proofErr w:type="spellStart"/>
            <w:r w:rsidRPr="00161B7C">
              <w:rPr>
                <w:rFonts w:ascii="Arial" w:hAnsi="Arial" w:cs="Arial"/>
                <w:b/>
                <w:bCs/>
                <w:lang w:val="it-IT"/>
              </w:rPr>
              <w:t>idarucizumab</w:t>
            </w:r>
            <w:proofErr w:type="spellEnd"/>
            <w:r w:rsidRPr="00161B7C">
              <w:rPr>
                <w:rFonts w:ascii="Arial" w:hAnsi="Arial" w:cs="Arial"/>
                <w:b/>
                <w:bCs/>
                <w:lang w:val="it-IT"/>
              </w:rPr>
              <w:t xml:space="preserve"> ha normalizzato si</w:t>
            </w:r>
            <w:r w:rsidR="00560148">
              <w:rPr>
                <w:rFonts w:ascii="Arial" w:hAnsi="Arial" w:cs="Arial"/>
                <w:b/>
                <w:bCs/>
                <w:lang w:val="it-IT"/>
              </w:rPr>
              <w:t xml:space="preserve">a il test </w:t>
            </w:r>
            <w:proofErr w:type="spellStart"/>
            <w:r w:rsidR="00560148">
              <w:rPr>
                <w:rFonts w:ascii="Arial" w:hAnsi="Arial" w:cs="Arial"/>
                <w:b/>
                <w:bCs/>
                <w:lang w:val="it-IT"/>
              </w:rPr>
              <w:t>dTT</w:t>
            </w:r>
            <w:proofErr w:type="spellEnd"/>
            <w:r w:rsidR="00560148">
              <w:rPr>
                <w:rFonts w:ascii="Arial" w:hAnsi="Arial" w:cs="Arial"/>
                <w:b/>
                <w:bCs/>
                <w:lang w:val="it-IT"/>
              </w:rPr>
              <w:t xml:space="preserve">  sia il test ECT i</w:t>
            </w:r>
            <w:r w:rsidRPr="00161B7C">
              <w:rPr>
                <w:rFonts w:ascii="Arial" w:hAnsi="Arial" w:cs="Arial"/>
                <w:b/>
                <w:bCs/>
                <w:lang w:val="it-IT"/>
              </w:rPr>
              <w:t>n pochi minuti</w:t>
            </w:r>
            <w:r w:rsidR="00D16606">
              <w:rPr>
                <w:rFonts w:ascii="Arial" w:hAnsi="Arial" w:cs="Arial"/>
                <w:vertAlign w:val="superscript"/>
                <w:lang w:val="it-IT"/>
              </w:rPr>
              <w:t>8</w:t>
            </w:r>
            <w:r w:rsidR="00ED0831">
              <w:rPr>
                <w:rFonts w:ascii="Arial" w:hAnsi="Arial" w:cs="Arial"/>
                <w:lang w:val="it-IT"/>
              </w:rPr>
              <w:t>.</w:t>
            </w:r>
          </w:p>
          <w:p w:rsidR="00ED0831" w:rsidRDefault="00ED0831" w:rsidP="00990B51">
            <w:pPr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:rsidR="00B87807" w:rsidRDefault="00B87807" w:rsidP="00B87807">
      <w:pPr>
        <w:rPr>
          <w:rFonts w:ascii="Arial" w:hAnsi="Arial" w:cs="Arial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87807" w:rsidRPr="008604C3" w:rsidTr="00990B51">
        <w:tc>
          <w:tcPr>
            <w:tcW w:w="9854" w:type="dxa"/>
          </w:tcPr>
          <w:p w:rsidR="00B87807" w:rsidRDefault="00B87807" w:rsidP="00990B51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E10BC2" w:rsidRDefault="00B87807" w:rsidP="008604C3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E10BC2">
              <w:rPr>
                <w:rFonts w:ascii="Arial" w:hAnsi="Arial" w:cs="Arial"/>
                <w:b/>
                <w:bCs/>
                <w:lang w:val="it-IT"/>
              </w:rPr>
              <w:t xml:space="preserve">La sicurezza di </w:t>
            </w:r>
            <w:proofErr w:type="spellStart"/>
            <w:r w:rsidR="008604C3">
              <w:rPr>
                <w:rFonts w:ascii="Arial" w:hAnsi="Arial" w:cs="Arial"/>
                <w:b/>
                <w:bCs/>
                <w:lang w:val="it-IT"/>
              </w:rPr>
              <w:t>idarucizumab</w:t>
            </w:r>
            <w:proofErr w:type="spellEnd"/>
            <w:r w:rsidRPr="00E10BC2">
              <w:rPr>
                <w:rFonts w:ascii="Arial" w:hAnsi="Arial" w:cs="Arial"/>
                <w:b/>
                <w:bCs/>
                <w:lang w:val="it-IT"/>
              </w:rPr>
              <w:t xml:space="preserve"> è stata valutata</w:t>
            </w:r>
            <w:r w:rsidRPr="00B87807">
              <w:rPr>
                <w:rFonts w:ascii="Arial" w:hAnsi="Arial" w:cs="Arial"/>
                <w:lang w:val="it-IT"/>
              </w:rPr>
              <w:t xml:space="preserve"> in 224 soggetti sani unitamente a 123 pazienti coinvolti in</w:t>
            </w:r>
            <w:r w:rsidR="00E10BC2">
              <w:rPr>
                <w:rFonts w:ascii="Arial" w:hAnsi="Arial" w:cs="Arial"/>
                <w:lang w:val="it-IT"/>
              </w:rPr>
              <w:t xml:space="preserve"> </w:t>
            </w:r>
            <w:r w:rsidRPr="00B87807">
              <w:rPr>
                <w:rFonts w:ascii="Arial" w:hAnsi="Arial" w:cs="Arial"/>
                <w:lang w:val="it-IT"/>
              </w:rPr>
              <w:t>uno studio in corso di fase III, che presentavano sanguinamento non controllato o che</w:t>
            </w:r>
            <w:r w:rsidR="00E10BC2">
              <w:rPr>
                <w:rFonts w:ascii="Arial" w:hAnsi="Arial" w:cs="Arial"/>
                <w:lang w:val="it-IT"/>
              </w:rPr>
              <w:t xml:space="preserve"> </w:t>
            </w:r>
            <w:r w:rsidRPr="00B87807">
              <w:rPr>
                <w:rFonts w:ascii="Arial" w:hAnsi="Arial" w:cs="Arial"/>
                <w:lang w:val="it-IT"/>
              </w:rPr>
              <w:t>necessitavano di</w:t>
            </w:r>
            <w:r w:rsidR="00E10BC2">
              <w:rPr>
                <w:rFonts w:ascii="Arial" w:hAnsi="Arial" w:cs="Arial"/>
                <w:lang w:val="it-IT"/>
              </w:rPr>
              <w:t xml:space="preserve"> </w:t>
            </w:r>
            <w:r w:rsidRPr="00B87807">
              <w:rPr>
                <w:rFonts w:ascii="Arial" w:hAnsi="Arial" w:cs="Arial"/>
                <w:lang w:val="it-IT"/>
              </w:rPr>
              <w:t>un intervento chirurgico o procedure di emergenza e che erano in terapia con</w:t>
            </w:r>
            <w:r w:rsidR="008604C3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B87807">
              <w:rPr>
                <w:rFonts w:ascii="Arial" w:hAnsi="Arial" w:cs="Arial"/>
                <w:lang w:val="it-IT"/>
              </w:rPr>
              <w:t>dabigatran</w:t>
            </w:r>
            <w:proofErr w:type="spellEnd"/>
            <w:r w:rsidRPr="00B87807">
              <w:rPr>
                <w:rFonts w:ascii="Arial" w:hAnsi="Arial" w:cs="Arial"/>
                <w:lang w:val="it-IT"/>
              </w:rPr>
              <w:t>.</w:t>
            </w:r>
            <w:r w:rsidR="00E10BC2">
              <w:rPr>
                <w:rFonts w:ascii="Arial" w:hAnsi="Arial" w:cs="Arial"/>
                <w:lang w:val="it-IT"/>
              </w:rPr>
              <w:t xml:space="preserve"> </w:t>
            </w:r>
            <w:r w:rsidRPr="00E10BC2">
              <w:rPr>
                <w:rFonts w:ascii="Arial" w:hAnsi="Arial" w:cs="Arial"/>
                <w:b/>
                <w:bCs/>
                <w:lang w:val="it-IT"/>
              </w:rPr>
              <w:t>Nessuna reazione avversa è stata identificata</w:t>
            </w:r>
            <w:r w:rsidR="00E10BC2">
              <w:rPr>
                <w:rFonts w:ascii="Arial" w:hAnsi="Arial" w:cs="Arial"/>
                <w:vertAlign w:val="superscript"/>
                <w:lang w:val="it-IT"/>
              </w:rPr>
              <w:t>3</w:t>
            </w:r>
            <w:r w:rsidRPr="00E10BC2">
              <w:rPr>
                <w:rFonts w:ascii="Arial" w:hAnsi="Arial" w:cs="Arial"/>
                <w:b/>
                <w:bCs/>
                <w:lang w:val="it-IT"/>
              </w:rPr>
              <w:t>.</w:t>
            </w:r>
          </w:p>
        </w:tc>
      </w:tr>
    </w:tbl>
    <w:p w:rsidR="008604C3" w:rsidRDefault="008604C3" w:rsidP="00115EE2">
      <w:pPr>
        <w:rPr>
          <w:rFonts w:ascii="Arial" w:hAnsi="Arial" w:cs="Arial"/>
          <w:b/>
          <w:bCs/>
          <w:lang w:val="it-IT"/>
        </w:rPr>
      </w:pPr>
    </w:p>
    <w:p w:rsidR="006D108A" w:rsidRDefault="006D108A" w:rsidP="00115EE2">
      <w:pPr>
        <w:rPr>
          <w:rFonts w:ascii="Arial" w:hAnsi="Arial" w:cs="Arial"/>
          <w:b/>
          <w:bCs/>
          <w:lang w:val="it-IT"/>
        </w:rPr>
      </w:pPr>
      <w:bookmarkStart w:id="0" w:name="_GoBack"/>
      <w:bookmarkEnd w:id="0"/>
    </w:p>
    <w:p w:rsidR="007E1048" w:rsidRPr="007E1048" w:rsidRDefault="007E1048" w:rsidP="00115EE2">
      <w:pPr>
        <w:rPr>
          <w:rFonts w:ascii="Arial" w:hAnsi="Arial" w:cs="Arial"/>
          <w:b/>
          <w:bCs/>
          <w:lang w:val="it-IT"/>
        </w:rPr>
      </w:pPr>
      <w:r w:rsidRPr="007E1048">
        <w:rPr>
          <w:rFonts w:ascii="Arial" w:hAnsi="Arial" w:cs="Arial"/>
          <w:b/>
          <w:bCs/>
          <w:lang w:val="it-IT"/>
        </w:rPr>
        <w:lastRenderedPageBreak/>
        <w:t xml:space="preserve">Interazioni </w:t>
      </w:r>
      <w:r w:rsidR="00FA2CF8">
        <w:rPr>
          <w:rFonts w:ascii="Arial" w:hAnsi="Arial" w:cs="Arial"/>
          <w:b/>
          <w:bCs/>
          <w:lang w:val="it-IT"/>
        </w:rPr>
        <w:t xml:space="preserve">di </w:t>
      </w:r>
      <w:proofErr w:type="spellStart"/>
      <w:r w:rsidR="008604C3">
        <w:rPr>
          <w:rFonts w:ascii="Arial" w:hAnsi="Arial" w:cs="Arial"/>
          <w:b/>
          <w:bCs/>
          <w:lang w:val="it-IT"/>
        </w:rPr>
        <w:t>idarucizumab</w:t>
      </w:r>
      <w:proofErr w:type="spellEnd"/>
      <w:r w:rsidR="00FA2CF8">
        <w:rPr>
          <w:rFonts w:ascii="Arial" w:hAnsi="Arial" w:cs="Arial"/>
          <w:b/>
          <w:bCs/>
          <w:lang w:val="it-IT"/>
        </w:rPr>
        <w:t xml:space="preserve"> </w:t>
      </w:r>
      <w:r w:rsidRPr="007E1048">
        <w:rPr>
          <w:rFonts w:ascii="Arial" w:hAnsi="Arial" w:cs="Arial"/>
          <w:b/>
          <w:bCs/>
          <w:lang w:val="it-IT"/>
        </w:rPr>
        <w:t>con altri medicinali ed altre forme d’interazione</w:t>
      </w:r>
      <w:r w:rsidR="00FA2CF8">
        <w:rPr>
          <w:rFonts w:ascii="Arial" w:hAnsi="Arial" w:cs="Arial"/>
          <w:vertAlign w:val="superscript"/>
          <w:lang w:val="it-IT"/>
        </w:rPr>
        <w:t>3</w:t>
      </w:r>
    </w:p>
    <w:p w:rsidR="007E1048" w:rsidRPr="00FA2CF8" w:rsidRDefault="007E1048" w:rsidP="007E1048">
      <w:pPr>
        <w:rPr>
          <w:rFonts w:ascii="Arial" w:hAnsi="Arial" w:cs="Arial"/>
          <w:b/>
          <w:bCs/>
          <w:lang w:val="it-IT"/>
        </w:rPr>
      </w:pPr>
      <w:r w:rsidRPr="007E1048">
        <w:rPr>
          <w:rFonts w:ascii="Arial" w:hAnsi="Arial" w:cs="Arial"/>
          <w:lang w:val="it-IT"/>
        </w:rPr>
        <w:t xml:space="preserve">Non sono stati effettuati studi specifici di interazione con </w:t>
      </w:r>
      <w:proofErr w:type="spellStart"/>
      <w:r w:rsidR="008604C3">
        <w:rPr>
          <w:rFonts w:ascii="Arial" w:hAnsi="Arial" w:cs="Arial"/>
          <w:lang w:val="it-IT"/>
        </w:rPr>
        <w:t>idarucizumab</w:t>
      </w:r>
      <w:proofErr w:type="spellEnd"/>
      <w:r w:rsidRPr="007E1048">
        <w:rPr>
          <w:rFonts w:ascii="Arial" w:hAnsi="Arial" w:cs="Arial"/>
          <w:lang w:val="it-IT"/>
        </w:rPr>
        <w:t xml:space="preserve"> e altri medicinali. Sulla base delle</w:t>
      </w:r>
      <w:r>
        <w:rPr>
          <w:rFonts w:ascii="Arial" w:hAnsi="Arial" w:cs="Arial"/>
          <w:lang w:val="it-IT"/>
        </w:rPr>
        <w:t xml:space="preserve"> </w:t>
      </w:r>
      <w:r w:rsidRPr="007E1048">
        <w:rPr>
          <w:rFonts w:ascii="Arial" w:hAnsi="Arial" w:cs="Arial"/>
          <w:lang w:val="it-IT"/>
        </w:rPr>
        <w:t xml:space="preserve">proprietà farmacocinetiche e dell’elevata specificità del legame con </w:t>
      </w:r>
      <w:proofErr w:type="spellStart"/>
      <w:r w:rsidRPr="007E1048">
        <w:rPr>
          <w:rFonts w:ascii="Arial" w:hAnsi="Arial" w:cs="Arial"/>
          <w:lang w:val="it-IT"/>
        </w:rPr>
        <w:t>dabigatran</w:t>
      </w:r>
      <w:proofErr w:type="spellEnd"/>
      <w:r w:rsidRPr="007E1048">
        <w:rPr>
          <w:rFonts w:ascii="Arial" w:hAnsi="Arial" w:cs="Arial"/>
          <w:lang w:val="it-IT"/>
        </w:rPr>
        <w:t xml:space="preserve">, </w:t>
      </w:r>
      <w:r w:rsidRPr="00FA2CF8">
        <w:rPr>
          <w:rFonts w:ascii="Arial" w:hAnsi="Arial" w:cs="Arial"/>
          <w:b/>
          <w:bCs/>
          <w:lang w:val="it-IT"/>
        </w:rPr>
        <w:t>si considera improbabile la comparsa di interazioni clinicamente rilevanti con altri medicinali</w:t>
      </w:r>
      <w:r w:rsidR="00FA2CF8">
        <w:rPr>
          <w:rFonts w:ascii="Arial" w:hAnsi="Arial" w:cs="Arial"/>
          <w:vertAlign w:val="superscript"/>
          <w:lang w:val="it-IT"/>
        </w:rPr>
        <w:t>3</w:t>
      </w:r>
      <w:r w:rsidRPr="00FA2CF8">
        <w:rPr>
          <w:rFonts w:ascii="Arial" w:hAnsi="Arial" w:cs="Arial"/>
          <w:b/>
          <w:bCs/>
          <w:lang w:val="it-IT"/>
        </w:rPr>
        <w:t>.</w:t>
      </w:r>
    </w:p>
    <w:p w:rsidR="007E1048" w:rsidRPr="007E1048" w:rsidRDefault="007E1048" w:rsidP="007E1048">
      <w:pPr>
        <w:rPr>
          <w:rFonts w:ascii="Arial" w:hAnsi="Arial" w:cs="Arial"/>
          <w:lang w:val="it-IT"/>
        </w:rPr>
      </w:pPr>
      <w:r w:rsidRPr="007E1048">
        <w:rPr>
          <w:rFonts w:ascii="Arial" w:hAnsi="Arial" w:cs="Arial"/>
          <w:lang w:val="it-IT"/>
        </w:rPr>
        <w:t xml:space="preserve">Studi preclinici con </w:t>
      </w:r>
      <w:proofErr w:type="spellStart"/>
      <w:r w:rsidRPr="007E1048">
        <w:rPr>
          <w:rFonts w:ascii="Arial" w:hAnsi="Arial" w:cs="Arial"/>
          <w:lang w:val="it-IT"/>
        </w:rPr>
        <w:t>idarucizumab</w:t>
      </w:r>
      <w:proofErr w:type="spellEnd"/>
      <w:r w:rsidRPr="007E1048">
        <w:rPr>
          <w:rFonts w:ascii="Arial" w:hAnsi="Arial" w:cs="Arial"/>
          <w:lang w:val="it-IT"/>
        </w:rPr>
        <w:t xml:space="preserve"> non hanno evidenziato interazioni con</w:t>
      </w:r>
      <w:r w:rsidR="00FA2CF8">
        <w:rPr>
          <w:rFonts w:ascii="Arial" w:hAnsi="Arial" w:cs="Arial"/>
          <w:vertAlign w:val="superscript"/>
          <w:lang w:val="it-IT"/>
        </w:rPr>
        <w:t>3</w:t>
      </w:r>
      <w:r w:rsidR="00FA2CF8">
        <w:rPr>
          <w:rFonts w:ascii="Arial" w:hAnsi="Arial" w:cs="Arial"/>
          <w:lang w:val="it-IT"/>
        </w:rPr>
        <w:t>:</w:t>
      </w:r>
    </w:p>
    <w:p w:rsidR="007E1048" w:rsidRPr="00FA2CF8" w:rsidRDefault="00FA2CF8" w:rsidP="00FA2CF8">
      <w:pPr>
        <w:pStyle w:val="ListParagraph"/>
        <w:numPr>
          <w:ilvl w:val="0"/>
          <w:numId w:val="5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espansori del volume plasmatico;</w:t>
      </w:r>
    </w:p>
    <w:p w:rsidR="007E1048" w:rsidRPr="00FA2CF8" w:rsidRDefault="007E1048" w:rsidP="00FA2CF8">
      <w:pPr>
        <w:pStyle w:val="ListParagraph"/>
        <w:numPr>
          <w:ilvl w:val="0"/>
          <w:numId w:val="5"/>
        </w:numPr>
        <w:rPr>
          <w:rFonts w:ascii="Arial" w:hAnsi="Arial" w:cs="Arial"/>
          <w:lang w:val="it-IT"/>
        </w:rPr>
      </w:pPr>
      <w:r w:rsidRPr="00FA2CF8">
        <w:rPr>
          <w:rFonts w:ascii="Arial" w:hAnsi="Arial" w:cs="Arial"/>
          <w:lang w:val="it-IT"/>
        </w:rPr>
        <w:t>concentrati dei fattori della coagulazione, quali i concentrati del complesso protrombinico</w:t>
      </w:r>
      <w:r w:rsidR="00FA2CF8">
        <w:rPr>
          <w:rFonts w:ascii="Arial" w:hAnsi="Arial" w:cs="Arial"/>
          <w:lang w:val="it-IT"/>
        </w:rPr>
        <w:t xml:space="preserve"> </w:t>
      </w:r>
      <w:r w:rsidRPr="00FA2CF8">
        <w:rPr>
          <w:rFonts w:ascii="Arial" w:hAnsi="Arial" w:cs="Arial"/>
          <w:lang w:val="it-IT"/>
        </w:rPr>
        <w:t>(PCC, ad es. a 3 fattori e a 4 fattori), PCC attivati (</w:t>
      </w:r>
      <w:proofErr w:type="spellStart"/>
      <w:r w:rsidRPr="00FA2CF8">
        <w:rPr>
          <w:rFonts w:ascii="Arial" w:hAnsi="Arial" w:cs="Arial"/>
          <w:lang w:val="it-IT"/>
        </w:rPr>
        <w:t>aP</w:t>
      </w:r>
      <w:r w:rsidR="00FA2CF8">
        <w:rPr>
          <w:rFonts w:ascii="Arial" w:hAnsi="Arial" w:cs="Arial"/>
          <w:lang w:val="it-IT"/>
        </w:rPr>
        <w:t>CC</w:t>
      </w:r>
      <w:proofErr w:type="spellEnd"/>
      <w:r w:rsidR="00FA2CF8">
        <w:rPr>
          <w:rFonts w:ascii="Arial" w:hAnsi="Arial" w:cs="Arial"/>
          <w:lang w:val="it-IT"/>
        </w:rPr>
        <w:t xml:space="preserve">) e fattore </w:t>
      </w:r>
      <w:proofErr w:type="spellStart"/>
      <w:r w:rsidR="00FA2CF8">
        <w:rPr>
          <w:rFonts w:ascii="Arial" w:hAnsi="Arial" w:cs="Arial"/>
          <w:lang w:val="it-IT"/>
        </w:rPr>
        <w:t>VIIa</w:t>
      </w:r>
      <w:proofErr w:type="spellEnd"/>
      <w:r w:rsidR="00FA2CF8">
        <w:rPr>
          <w:rFonts w:ascii="Arial" w:hAnsi="Arial" w:cs="Arial"/>
          <w:lang w:val="it-IT"/>
        </w:rPr>
        <w:t xml:space="preserve"> ricombinante;</w:t>
      </w:r>
    </w:p>
    <w:p w:rsidR="007E1048" w:rsidRPr="00FA2CF8" w:rsidRDefault="007E1048" w:rsidP="007E1048">
      <w:pPr>
        <w:pStyle w:val="ListParagraph"/>
        <w:numPr>
          <w:ilvl w:val="0"/>
          <w:numId w:val="5"/>
        </w:numPr>
        <w:rPr>
          <w:rFonts w:ascii="Arial" w:hAnsi="Arial" w:cs="Arial"/>
          <w:lang w:val="it-IT"/>
        </w:rPr>
      </w:pPr>
      <w:r w:rsidRPr="00FA2CF8">
        <w:rPr>
          <w:rFonts w:ascii="Arial" w:hAnsi="Arial" w:cs="Arial"/>
          <w:lang w:val="it-IT"/>
        </w:rPr>
        <w:t xml:space="preserve">altri anticoagulanti (ad es. inibitori della trombina diversi da </w:t>
      </w:r>
      <w:proofErr w:type="spellStart"/>
      <w:r w:rsidRPr="00FA2CF8">
        <w:rPr>
          <w:rFonts w:ascii="Arial" w:hAnsi="Arial" w:cs="Arial"/>
          <w:lang w:val="it-IT"/>
        </w:rPr>
        <w:t>dabigatran</w:t>
      </w:r>
      <w:proofErr w:type="spellEnd"/>
      <w:r w:rsidRPr="00FA2CF8">
        <w:rPr>
          <w:rFonts w:ascii="Arial" w:hAnsi="Arial" w:cs="Arial"/>
          <w:lang w:val="it-IT"/>
        </w:rPr>
        <w:t xml:space="preserve">, inibitore del fattore </w:t>
      </w:r>
      <w:proofErr w:type="spellStart"/>
      <w:r w:rsidRPr="00FA2CF8">
        <w:rPr>
          <w:rFonts w:ascii="Arial" w:hAnsi="Arial" w:cs="Arial"/>
          <w:lang w:val="it-IT"/>
        </w:rPr>
        <w:t>Xa</w:t>
      </w:r>
      <w:proofErr w:type="spellEnd"/>
      <w:r w:rsidR="00FA2CF8" w:rsidRPr="00FA2CF8">
        <w:rPr>
          <w:rFonts w:ascii="Arial" w:hAnsi="Arial" w:cs="Arial"/>
          <w:lang w:val="it-IT"/>
        </w:rPr>
        <w:t xml:space="preserve"> </w:t>
      </w:r>
      <w:r w:rsidRPr="00FA2CF8">
        <w:rPr>
          <w:rFonts w:ascii="Arial" w:hAnsi="Arial" w:cs="Arial"/>
          <w:lang w:val="it-IT"/>
        </w:rPr>
        <w:t>compresa l’eparina a basso peso molecolare, antagonisti della vitamina K, eparina).</w:t>
      </w:r>
      <w:r w:rsidR="00FA2CF8" w:rsidRPr="00FA2CF8">
        <w:rPr>
          <w:rFonts w:ascii="Arial" w:hAnsi="Arial" w:cs="Arial"/>
          <w:lang w:val="it-IT"/>
        </w:rPr>
        <w:t xml:space="preserve"> </w:t>
      </w:r>
      <w:r w:rsidRPr="00FA2CF8">
        <w:rPr>
          <w:rFonts w:ascii="Arial" w:hAnsi="Arial" w:cs="Arial"/>
          <w:lang w:val="it-IT"/>
        </w:rPr>
        <w:t>Ne</w:t>
      </w:r>
      <w:r w:rsidR="00FA2CF8" w:rsidRPr="00FA2CF8">
        <w:rPr>
          <w:rFonts w:ascii="Arial" w:hAnsi="Arial" w:cs="Arial"/>
          <w:lang w:val="it-IT"/>
        </w:rPr>
        <w:t xml:space="preserve"> </w:t>
      </w:r>
      <w:r w:rsidRPr="00FA2CF8">
        <w:rPr>
          <w:rFonts w:ascii="Arial" w:hAnsi="Arial" w:cs="Arial"/>
          <w:lang w:val="it-IT"/>
        </w:rPr>
        <w:t xml:space="preserve">consegue che </w:t>
      </w:r>
      <w:proofErr w:type="spellStart"/>
      <w:r w:rsidRPr="00FA2CF8">
        <w:rPr>
          <w:rFonts w:ascii="Arial" w:hAnsi="Arial" w:cs="Arial"/>
          <w:lang w:val="it-IT"/>
        </w:rPr>
        <w:t>idarucizumab</w:t>
      </w:r>
      <w:proofErr w:type="spellEnd"/>
      <w:r w:rsidRPr="00FA2CF8">
        <w:rPr>
          <w:rFonts w:ascii="Arial" w:hAnsi="Arial" w:cs="Arial"/>
          <w:lang w:val="it-IT"/>
        </w:rPr>
        <w:t xml:space="preserve"> non inattiverà gli effetti degli altri anticoagulanti.</w:t>
      </w:r>
    </w:p>
    <w:p w:rsidR="007E1048" w:rsidRDefault="007E1048" w:rsidP="00115EE2">
      <w:pPr>
        <w:rPr>
          <w:rFonts w:ascii="Arial" w:hAnsi="Arial" w:cs="Arial"/>
          <w:b/>
          <w:bCs/>
          <w:lang w:val="it-IT"/>
        </w:rPr>
      </w:pPr>
    </w:p>
    <w:p w:rsidR="00115EE2" w:rsidRDefault="008604C3" w:rsidP="00115EE2">
      <w:pPr>
        <w:rPr>
          <w:rFonts w:ascii="Arial" w:hAnsi="Arial" w:cs="Arial"/>
          <w:b/>
          <w:bCs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Idarucizumab</w:t>
      </w:r>
      <w:proofErr w:type="spellEnd"/>
      <w:r w:rsidR="00115EE2">
        <w:rPr>
          <w:rFonts w:ascii="Arial" w:hAnsi="Arial" w:cs="Arial"/>
          <w:b/>
          <w:bCs/>
          <w:lang w:val="it-IT"/>
        </w:rPr>
        <w:t xml:space="preserve"> ed il suo utilizzo in particolari popolazioni di pazienti</w:t>
      </w:r>
      <w:r w:rsidR="0088373F">
        <w:rPr>
          <w:rFonts w:ascii="Arial" w:hAnsi="Arial" w:cs="Arial"/>
          <w:vertAlign w:val="superscript"/>
          <w:lang w:val="it-IT"/>
        </w:rPr>
        <w:t>3</w:t>
      </w:r>
    </w:p>
    <w:p w:rsidR="00115EE2" w:rsidRPr="00C661D4" w:rsidRDefault="0088373F" w:rsidP="00C661D4">
      <w:pPr>
        <w:pStyle w:val="ListParagraph"/>
        <w:numPr>
          <w:ilvl w:val="0"/>
          <w:numId w:val="4"/>
        </w:numPr>
        <w:rPr>
          <w:rFonts w:ascii="Arial" w:hAnsi="Arial" w:cs="Arial"/>
          <w:lang w:val="it-IT"/>
        </w:rPr>
      </w:pPr>
      <w:r w:rsidRPr="00C661D4">
        <w:rPr>
          <w:rFonts w:ascii="Arial" w:hAnsi="Arial" w:cs="Arial"/>
          <w:b/>
          <w:bCs/>
          <w:lang w:val="it-IT"/>
        </w:rPr>
        <w:t xml:space="preserve">Pazienti </w:t>
      </w:r>
      <w:r w:rsidR="00115EE2" w:rsidRPr="00C661D4">
        <w:rPr>
          <w:rFonts w:ascii="Arial" w:hAnsi="Arial" w:cs="Arial"/>
          <w:b/>
          <w:bCs/>
          <w:lang w:val="it-IT"/>
        </w:rPr>
        <w:t>con compromissione renale</w:t>
      </w:r>
      <w:r w:rsidRPr="00C661D4">
        <w:rPr>
          <w:rFonts w:ascii="Arial" w:hAnsi="Arial" w:cs="Arial"/>
          <w:b/>
          <w:bCs/>
          <w:lang w:val="it-IT"/>
        </w:rPr>
        <w:t xml:space="preserve">: </w:t>
      </w:r>
      <w:r w:rsidR="00C661D4" w:rsidRPr="00C661D4">
        <w:rPr>
          <w:rFonts w:ascii="Arial" w:hAnsi="Arial" w:cs="Arial"/>
          <w:lang w:val="it-IT"/>
        </w:rPr>
        <w:t>nei pazienti con compromissione renale non sono necessari aggiustamenti della dose. La</w:t>
      </w:r>
      <w:r w:rsidR="00C661D4">
        <w:rPr>
          <w:rFonts w:ascii="Arial" w:hAnsi="Arial" w:cs="Arial"/>
          <w:lang w:val="it-IT"/>
        </w:rPr>
        <w:t xml:space="preserve"> </w:t>
      </w:r>
      <w:r w:rsidR="00C661D4" w:rsidRPr="00C661D4">
        <w:rPr>
          <w:rFonts w:ascii="Arial" w:hAnsi="Arial" w:cs="Arial"/>
          <w:lang w:val="it-IT"/>
        </w:rPr>
        <w:t xml:space="preserve">compromissione renale non ha influito sull’effetto inattivante di </w:t>
      </w:r>
      <w:proofErr w:type="spellStart"/>
      <w:r w:rsidR="00C661D4" w:rsidRPr="00C661D4">
        <w:rPr>
          <w:rFonts w:ascii="Arial" w:hAnsi="Arial" w:cs="Arial"/>
          <w:lang w:val="it-IT"/>
        </w:rPr>
        <w:t>idarucizumab</w:t>
      </w:r>
      <w:proofErr w:type="spellEnd"/>
      <w:r w:rsidR="00C661D4">
        <w:rPr>
          <w:rFonts w:ascii="Arial" w:hAnsi="Arial" w:cs="Arial"/>
          <w:lang w:val="it-IT"/>
        </w:rPr>
        <w:t>;</w:t>
      </w:r>
    </w:p>
    <w:p w:rsidR="0088373F" w:rsidRDefault="0088373F" w:rsidP="00C661D4">
      <w:pPr>
        <w:pStyle w:val="ListParagraph"/>
        <w:numPr>
          <w:ilvl w:val="0"/>
          <w:numId w:val="4"/>
        </w:numPr>
        <w:rPr>
          <w:rFonts w:ascii="Arial" w:hAnsi="Arial" w:cs="Arial"/>
          <w:lang w:val="it-IT"/>
        </w:rPr>
      </w:pPr>
      <w:r w:rsidRPr="0088373F">
        <w:rPr>
          <w:rFonts w:ascii="Arial" w:hAnsi="Arial" w:cs="Arial"/>
          <w:b/>
          <w:bCs/>
          <w:lang w:val="it-IT"/>
        </w:rPr>
        <w:t xml:space="preserve">Pazienti con compromissione epatica: </w:t>
      </w:r>
      <w:r w:rsidR="00C661D4">
        <w:rPr>
          <w:rFonts w:ascii="Arial" w:hAnsi="Arial" w:cs="Arial"/>
          <w:lang w:val="it-IT"/>
        </w:rPr>
        <w:t>nei</w:t>
      </w:r>
      <w:r w:rsidR="00C661D4" w:rsidRPr="00C661D4">
        <w:rPr>
          <w:rFonts w:ascii="Arial" w:hAnsi="Arial" w:cs="Arial"/>
          <w:lang w:val="it-IT"/>
        </w:rPr>
        <w:t xml:space="preserve"> pazienti con compromissione epatica non sono necessari aggiustamenti della dose</w:t>
      </w:r>
    </w:p>
    <w:p w:rsidR="0088373F" w:rsidRPr="0088373F" w:rsidRDefault="0088373F" w:rsidP="00C661D4">
      <w:pPr>
        <w:pStyle w:val="ListParagraph"/>
        <w:numPr>
          <w:ilvl w:val="0"/>
          <w:numId w:val="4"/>
        </w:numPr>
        <w:rPr>
          <w:rFonts w:ascii="Arial" w:hAnsi="Arial" w:cs="Arial"/>
          <w:lang w:val="it-IT"/>
        </w:rPr>
      </w:pPr>
      <w:r w:rsidRPr="0088373F">
        <w:rPr>
          <w:rFonts w:ascii="Arial" w:hAnsi="Arial" w:cs="Arial"/>
          <w:b/>
          <w:bCs/>
          <w:lang w:val="it-IT"/>
        </w:rPr>
        <w:t>Anziani/Sesso/Razza:</w:t>
      </w:r>
      <w:r w:rsidRPr="0088373F">
        <w:rPr>
          <w:rFonts w:ascii="Arial" w:hAnsi="Arial" w:cs="Arial"/>
          <w:lang w:val="it-IT"/>
        </w:rPr>
        <w:t xml:space="preserve"> </w:t>
      </w:r>
      <w:r w:rsidR="00C661D4" w:rsidRPr="00C661D4">
        <w:rPr>
          <w:rFonts w:ascii="Arial" w:hAnsi="Arial" w:cs="Arial"/>
          <w:lang w:val="it-IT"/>
        </w:rPr>
        <w:t>Nei pazienti anziani di età pari o superiore a 65 anni non sono necessari aggiustamenti della dose</w:t>
      </w:r>
      <w:r w:rsidR="00C661D4">
        <w:rPr>
          <w:rFonts w:ascii="Arial" w:hAnsi="Arial" w:cs="Arial"/>
          <w:lang w:val="it-IT"/>
        </w:rPr>
        <w:t xml:space="preserve">. </w:t>
      </w:r>
      <w:r w:rsidRPr="0088373F">
        <w:rPr>
          <w:rFonts w:ascii="Arial" w:hAnsi="Arial" w:cs="Arial"/>
          <w:lang w:val="it-IT"/>
        </w:rPr>
        <w:t>Sulla base delle analisi farmacocinetiche di popolazione, il sesso, l’età e la razza non hanno avuto</w:t>
      </w:r>
      <w:r>
        <w:rPr>
          <w:rFonts w:ascii="Arial" w:hAnsi="Arial" w:cs="Arial"/>
          <w:lang w:val="it-IT"/>
        </w:rPr>
        <w:t xml:space="preserve"> </w:t>
      </w:r>
      <w:r w:rsidRPr="0088373F">
        <w:rPr>
          <w:rFonts w:ascii="Arial" w:hAnsi="Arial" w:cs="Arial"/>
          <w:lang w:val="it-IT"/>
        </w:rPr>
        <w:t xml:space="preserve">alcun effetto clinicamente rilevante sulla farmacocinetica di </w:t>
      </w:r>
      <w:proofErr w:type="spellStart"/>
      <w:r w:rsidRPr="0088373F">
        <w:rPr>
          <w:rFonts w:ascii="Arial" w:hAnsi="Arial" w:cs="Arial"/>
          <w:lang w:val="it-IT"/>
        </w:rPr>
        <w:t>idarucizumab</w:t>
      </w:r>
      <w:proofErr w:type="spellEnd"/>
      <w:r w:rsidRPr="0088373F">
        <w:rPr>
          <w:rFonts w:ascii="Arial" w:hAnsi="Arial" w:cs="Arial"/>
          <w:lang w:val="it-IT"/>
        </w:rPr>
        <w:t>.</w:t>
      </w:r>
    </w:p>
    <w:p w:rsidR="00115EE2" w:rsidRDefault="00115EE2" w:rsidP="00115EE2">
      <w:pPr>
        <w:rPr>
          <w:rFonts w:ascii="Arial" w:hAnsi="Arial" w:cs="Arial"/>
          <w:lang w:val="it-IT"/>
        </w:rPr>
      </w:pPr>
    </w:p>
    <w:p w:rsidR="00FA2CF8" w:rsidRDefault="00FA2CF8" w:rsidP="00115EE2">
      <w:pPr>
        <w:rPr>
          <w:rFonts w:ascii="Arial" w:hAnsi="Arial" w:cs="Arial"/>
          <w:b/>
          <w:bCs/>
          <w:lang w:val="it-IT"/>
        </w:rPr>
      </w:pPr>
      <w:r w:rsidRPr="00FA2CF8">
        <w:rPr>
          <w:rFonts w:ascii="Arial" w:hAnsi="Arial" w:cs="Arial"/>
          <w:b/>
          <w:bCs/>
          <w:lang w:val="it-IT"/>
        </w:rPr>
        <w:t>Posologia e modo di somministrazione</w:t>
      </w:r>
      <w:r w:rsidR="008604C3">
        <w:rPr>
          <w:rFonts w:ascii="Arial" w:hAnsi="Arial" w:cs="Arial"/>
          <w:b/>
          <w:bCs/>
          <w:lang w:val="it-IT"/>
        </w:rPr>
        <w:t xml:space="preserve"> di idarucizumab</w:t>
      </w:r>
      <w:r w:rsidR="0077216D" w:rsidRPr="0088373F">
        <w:rPr>
          <w:rFonts w:ascii="Arial" w:hAnsi="Arial" w:cs="Arial"/>
          <w:vertAlign w:val="superscript"/>
          <w:lang w:val="it-IT"/>
        </w:rPr>
        <w:t>3</w:t>
      </w:r>
    </w:p>
    <w:p w:rsidR="00FA2CF8" w:rsidRPr="00C661D4" w:rsidRDefault="00FA2CF8" w:rsidP="00FA2CF8">
      <w:pPr>
        <w:rPr>
          <w:rFonts w:ascii="Arial" w:hAnsi="Arial" w:cs="Arial"/>
          <w:lang w:val="it-IT"/>
        </w:rPr>
      </w:pPr>
      <w:r w:rsidRPr="00C661D4">
        <w:rPr>
          <w:rFonts w:ascii="Arial" w:hAnsi="Arial" w:cs="Arial"/>
          <w:lang w:val="it-IT"/>
        </w:rPr>
        <w:t>Limitato esclusivamente all’uso ospedaliero.</w:t>
      </w:r>
    </w:p>
    <w:p w:rsidR="0077216D" w:rsidRDefault="008604C3" w:rsidP="0077216D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Idarucizumab</w:t>
      </w:r>
      <w:proofErr w:type="spellEnd"/>
      <w:r w:rsidR="0077216D" w:rsidRPr="0077216D">
        <w:rPr>
          <w:rFonts w:ascii="Arial" w:hAnsi="Arial" w:cs="Arial"/>
          <w:lang w:val="it-IT"/>
        </w:rPr>
        <w:t xml:space="preserve"> (2 x 2,5 g/50 </w:t>
      </w:r>
      <w:proofErr w:type="spellStart"/>
      <w:r w:rsidR="0077216D" w:rsidRPr="0077216D">
        <w:rPr>
          <w:rFonts w:ascii="Arial" w:hAnsi="Arial" w:cs="Arial"/>
          <w:lang w:val="it-IT"/>
        </w:rPr>
        <w:t>mL</w:t>
      </w:r>
      <w:proofErr w:type="spellEnd"/>
      <w:r w:rsidR="0077216D" w:rsidRPr="0077216D">
        <w:rPr>
          <w:rFonts w:ascii="Arial" w:hAnsi="Arial" w:cs="Arial"/>
          <w:lang w:val="it-IT"/>
        </w:rPr>
        <w:t>) viene somministrato per via endovenosa, tramite due infusioni consecutive</w:t>
      </w:r>
      <w:r w:rsidR="0077216D">
        <w:rPr>
          <w:rFonts w:ascii="Arial" w:hAnsi="Arial" w:cs="Arial"/>
          <w:lang w:val="it-IT"/>
        </w:rPr>
        <w:t xml:space="preserve"> </w:t>
      </w:r>
      <w:r w:rsidR="0077216D" w:rsidRPr="0077216D">
        <w:rPr>
          <w:rFonts w:ascii="Arial" w:hAnsi="Arial" w:cs="Arial"/>
          <w:lang w:val="it-IT"/>
        </w:rPr>
        <w:t>di 5-10 minuti ciascuna o tramite iniezione in bolo</w:t>
      </w:r>
      <w:r w:rsidR="0077216D" w:rsidRPr="0088373F">
        <w:rPr>
          <w:rFonts w:ascii="Arial" w:hAnsi="Arial" w:cs="Arial"/>
          <w:vertAlign w:val="superscript"/>
          <w:lang w:val="it-IT"/>
        </w:rPr>
        <w:t>3</w:t>
      </w:r>
      <w:r w:rsidR="0077216D" w:rsidRPr="0077216D">
        <w:rPr>
          <w:rFonts w:ascii="Arial" w:hAnsi="Arial" w:cs="Arial"/>
          <w:lang w:val="it-IT"/>
        </w:rPr>
        <w:t xml:space="preserve">. </w:t>
      </w:r>
    </w:p>
    <w:p w:rsidR="00FA2CF8" w:rsidRDefault="00FA2CF8" w:rsidP="0077216D">
      <w:pPr>
        <w:rPr>
          <w:rFonts w:ascii="Arial" w:hAnsi="Arial" w:cs="Arial"/>
          <w:lang w:val="it-IT"/>
        </w:rPr>
      </w:pPr>
      <w:r w:rsidRPr="00FA2CF8">
        <w:rPr>
          <w:rFonts w:ascii="Arial" w:hAnsi="Arial" w:cs="Arial"/>
          <w:lang w:val="it-IT"/>
        </w:rPr>
        <w:t xml:space="preserve">La somministrazione di una seconda dose di 5 g di </w:t>
      </w:r>
      <w:proofErr w:type="spellStart"/>
      <w:r w:rsidR="008604C3">
        <w:rPr>
          <w:rFonts w:ascii="Arial" w:hAnsi="Arial" w:cs="Arial"/>
          <w:lang w:val="it-IT"/>
        </w:rPr>
        <w:t>idarucizumab</w:t>
      </w:r>
      <w:proofErr w:type="spellEnd"/>
      <w:r w:rsidRPr="00FA2CF8">
        <w:rPr>
          <w:rFonts w:ascii="Arial" w:hAnsi="Arial" w:cs="Arial"/>
          <w:lang w:val="it-IT"/>
        </w:rPr>
        <w:t xml:space="preserve"> può essere presa in considerazione nelle</w:t>
      </w:r>
      <w:r>
        <w:rPr>
          <w:rFonts w:ascii="Arial" w:hAnsi="Arial" w:cs="Arial"/>
          <w:lang w:val="it-IT"/>
        </w:rPr>
        <w:t xml:space="preserve"> </w:t>
      </w:r>
      <w:r w:rsidRPr="00FA2CF8">
        <w:rPr>
          <w:rFonts w:ascii="Arial" w:hAnsi="Arial" w:cs="Arial"/>
          <w:lang w:val="it-IT"/>
        </w:rPr>
        <w:t>seguenti situazioni</w:t>
      </w:r>
      <w:r w:rsidR="0077216D" w:rsidRPr="0088373F">
        <w:rPr>
          <w:rFonts w:ascii="Arial" w:hAnsi="Arial" w:cs="Arial"/>
          <w:vertAlign w:val="superscript"/>
          <w:lang w:val="it-IT"/>
        </w:rPr>
        <w:t>3</w:t>
      </w:r>
      <w:r w:rsidRPr="00FA2CF8">
        <w:rPr>
          <w:rFonts w:ascii="Arial" w:hAnsi="Arial" w:cs="Arial"/>
          <w:lang w:val="it-IT"/>
        </w:rPr>
        <w:t>:</w:t>
      </w:r>
    </w:p>
    <w:p w:rsidR="00FA2CF8" w:rsidRPr="00FA2CF8" w:rsidRDefault="00FA2CF8" w:rsidP="00FA2CF8">
      <w:pPr>
        <w:pStyle w:val="ListParagraph"/>
        <w:numPr>
          <w:ilvl w:val="0"/>
          <w:numId w:val="6"/>
        </w:numPr>
        <w:rPr>
          <w:rFonts w:ascii="Arial" w:hAnsi="Arial" w:cs="Arial"/>
          <w:lang w:val="it-IT"/>
        </w:rPr>
      </w:pPr>
      <w:r w:rsidRPr="00FA2CF8">
        <w:rPr>
          <w:rFonts w:ascii="Arial" w:hAnsi="Arial" w:cs="Arial"/>
          <w:lang w:val="it-IT"/>
        </w:rPr>
        <w:t>in presenza di recidiva di sanguinamento clinicamente rilevante con tempi di coagulazione</w:t>
      </w:r>
      <w:r>
        <w:rPr>
          <w:rFonts w:ascii="Arial" w:hAnsi="Arial" w:cs="Arial"/>
          <w:lang w:val="it-IT"/>
        </w:rPr>
        <w:t xml:space="preserve"> </w:t>
      </w:r>
      <w:r w:rsidRPr="00FA2CF8">
        <w:rPr>
          <w:rFonts w:ascii="Arial" w:hAnsi="Arial" w:cs="Arial"/>
          <w:lang w:val="it-IT"/>
        </w:rPr>
        <w:t>prolungati, o</w:t>
      </w:r>
    </w:p>
    <w:p w:rsidR="00FA2CF8" w:rsidRDefault="00FA2CF8" w:rsidP="00FA2CF8">
      <w:pPr>
        <w:pStyle w:val="ListParagraph"/>
        <w:numPr>
          <w:ilvl w:val="0"/>
          <w:numId w:val="6"/>
        </w:numPr>
        <w:rPr>
          <w:rFonts w:ascii="Arial" w:hAnsi="Arial" w:cs="Arial"/>
          <w:lang w:val="it-IT"/>
        </w:rPr>
      </w:pPr>
      <w:r w:rsidRPr="00FA2CF8">
        <w:rPr>
          <w:rFonts w:ascii="Arial" w:hAnsi="Arial" w:cs="Arial"/>
          <w:lang w:val="it-IT"/>
        </w:rPr>
        <w:t>se la potenziale ricomparsa del sanguinamento dovesse essere pericolosa per la vita e se si</w:t>
      </w:r>
      <w:r>
        <w:rPr>
          <w:rFonts w:ascii="Arial" w:hAnsi="Arial" w:cs="Arial"/>
          <w:lang w:val="it-IT"/>
        </w:rPr>
        <w:t xml:space="preserve"> </w:t>
      </w:r>
      <w:r w:rsidRPr="00FA2CF8">
        <w:rPr>
          <w:rFonts w:ascii="Arial" w:hAnsi="Arial" w:cs="Arial"/>
          <w:lang w:val="it-IT"/>
        </w:rPr>
        <w:t>dovessero osservare tempi di coagulazione prolungati, o</w:t>
      </w:r>
    </w:p>
    <w:p w:rsidR="00FA2CF8" w:rsidRPr="00FA2CF8" w:rsidRDefault="00FA2CF8" w:rsidP="00FA2CF8">
      <w:pPr>
        <w:pStyle w:val="ListParagraph"/>
        <w:numPr>
          <w:ilvl w:val="0"/>
          <w:numId w:val="6"/>
        </w:numPr>
        <w:rPr>
          <w:rFonts w:ascii="Arial" w:hAnsi="Arial" w:cs="Arial"/>
          <w:lang w:val="it-IT"/>
        </w:rPr>
      </w:pPr>
      <w:r w:rsidRPr="00FA2CF8">
        <w:rPr>
          <w:rFonts w:ascii="Arial" w:hAnsi="Arial" w:cs="Arial"/>
          <w:lang w:val="it-IT"/>
        </w:rPr>
        <w:t>se i pazienti dovessero avere necessità di un secondo intervento chirurgico di emergenza/una</w:t>
      </w:r>
      <w:r>
        <w:rPr>
          <w:rFonts w:ascii="Arial" w:hAnsi="Arial" w:cs="Arial"/>
          <w:lang w:val="it-IT"/>
        </w:rPr>
        <w:t xml:space="preserve"> </w:t>
      </w:r>
      <w:r w:rsidRPr="00FA2CF8">
        <w:rPr>
          <w:rFonts w:ascii="Arial" w:hAnsi="Arial" w:cs="Arial"/>
          <w:lang w:val="it-IT"/>
        </w:rPr>
        <w:t>seconda procedura d’urgenza e presentare tempi di coagulazione prolungati.</w:t>
      </w:r>
    </w:p>
    <w:p w:rsidR="0077216D" w:rsidRDefault="0077216D" w:rsidP="0077216D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Controindicazioni di </w:t>
      </w:r>
      <w:proofErr w:type="spellStart"/>
      <w:r w:rsidR="008604C3">
        <w:rPr>
          <w:rFonts w:ascii="Arial" w:hAnsi="Arial" w:cs="Arial"/>
          <w:b/>
          <w:bCs/>
          <w:lang w:val="it-IT"/>
        </w:rPr>
        <w:t>idarucizumab</w:t>
      </w:r>
      <w:proofErr w:type="spellEnd"/>
      <w:r>
        <w:rPr>
          <w:rFonts w:ascii="Arial" w:hAnsi="Arial" w:cs="Arial"/>
          <w:b/>
          <w:bCs/>
          <w:lang w:val="it-IT"/>
        </w:rPr>
        <w:t xml:space="preserve">: </w:t>
      </w:r>
      <w:r w:rsidRPr="0077216D">
        <w:rPr>
          <w:rFonts w:ascii="Arial" w:hAnsi="Arial" w:cs="Arial"/>
          <w:lang w:val="it-IT"/>
        </w:rPr>
        <w:t>nessuna</w:t>
      </w:r>
      <w:r w:rsidRPr="0088373F">
        <w:rPr>
          <w:rFonts w:ascii="Arial" w:hAnsi="Arial" w:cs="Arial"/>
          <w:vertAlign w:val="superscript"/>
          <w:lang w:val="it-IT"/>
        </w:rPr>
        <w:t>3</w:t>
      </w:r>
    </w:p>
    <w:p w:rsidR="0077216D" w:rsidRPr="0077216D" w:rsidRDefault="0077216D" w:rsidP="0077216D">
      <w:pPr>
        <w:rPr>
          <w:rFonts w:ascii="Arial" w:hAnsi="Arial" w:cs="Arial"/>
          <w:b/>
          <w:bCs/>
          <w:lang w:val="it-IT"/>
        </w:rPr>
      </w:pPr>
      <w:r w:rsidRPr="0077216D">
        <w:rPr>
          <w:rFonts w:ascii="Arial" w:hAnsi="Arial" w:cs="Arial"/>
          <w:b/>
          <w:bCs/>
          <w:lang w:val="it-IT"/>
        </w:rPr>
        <w:t>Precauzioni particolari per la conservazione</w:t>
      </w:r>
      <w:r>
        <w:rPr>
          <w:rFonts w:ascii="Arial" w:hAnsi="Arial" w:cs="Arial"/>
          <w:b/>
          <w:bCs/>
          <w:lang w:val="it-IT"/>
        </w:rPr>
        <w:t xml:space="preserve">: </w:t>
      </w:r>
      <w:r w:rsidRPr="0077216D">
        <w:rPr>
          <w:rFonts w:ascii="Arial" w:hAnsi="Arial" w:cs="Arial"/>
          <w:lang w:val="it-IT"/>
        </w:rPr>
        <w:t>Conservare in frigorifero (2°C-8°C). Non congelare.</w:t>
      </w:r>
    </w:p>
    <w:p w:rsidR="0077216D" w:rsidRPr="0077216D" w:rsidRDefault="0077216D" w:rsidP="0077216D">
      <w:pPr>
        <w:rPr>
          <w:rFonts w:ascii="Arial" w:hAnsi="Arial" w:cs="Arial"/>
          <w:b/>
          <w:bCs/>
          <w:lang w:val="it-IT"/>
        </w:rPr>
      </w:pPr>
      <w:r w:rsidRPr="0077216D">
        <w:rPr>
          <w:rFonts w:ascii="Arial" w:hAnsi="Arial" w:cs="Arial"/>
          <w:b/>
          <w:bCs/>
          <w:lang w:val="it-IT"/>
        </w:rPr>
        <w:lastRenderedPageBreak/>
        <w:t>Ripresa della Terapia Antitrombotica</w:t>
      </w:r>
      <w:r w:rsidR="00CB53FB" w:rsidRPr="0088373F">
        <w:rPr>
          <w:rFonts w:ascii="Arial" w:hAnsi="Arial" w:cs="Arial"/>
          <w:vertAlign w:val="superscript"/>
          <w:lang w:val="it-IT"/>
        </w:rPr>
        <w:t>3</w:t>
      </w:r>
    </w:p>
    <w:p w:rsidR="0077216D" w:rsidRPr="0077216D" w:rsidRDefault="008604C3" w:rsidP="0077216D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trattamento con </w:t>
      </w:r>
      <w:proofErr w:type="spellStart"/>
      <w:r w:rsidR="0077216D" w:rsidRPr="0077216D">
        <w:rPr>
          <w:rFonts w:ascii="Arial" w:hAnsi="Arial" w:cs="Arial"/>
          <w:lang w:val="it-IT"/>
        </w:rPr>
        <w:t>dabigatran</w:t>
      </w:r>
      <w:proofErr w:type="spellEnd"/>
      <w:r w:rsidR="0077216D" w:rsidRPr="0077216D">
        <w:rPr>
          <w:rFonts w:ascii="Arial" w:hAnsi="Arial" w:cs="Arial"/>
          <w:lang w:val="it-IT"/>
        </w:rPr>
        <w:t xml:space="preserve"> può essere ripreso 24 ore dopo la</w:t>
      </w:r>
      <w:r w:rsidR="00C24488">
        <w:rPr>
          <w:rFonts w:ascii="Arial" w:hAnsi="Arial" w:cs="Arial"/>
          <w:lang w:val="it-IT"/>
        </w:rPr>
        <w:t xml:space="preserve"> </w:t>
      </w:r>
      <w:r w:rsidR="0077216D" w:rsidRPr="0077216D">
        <w:rPr>
          <w:rFonts w:ascii="Arial" w:hAnsi="Arial" w:cs="Arial"/>
          <w:lang w:val="it-IT"/>
        </w:rPr>
        <w:t xml:space="preserve">somministrazione di </w:t>
      </w:r>
      <w:proofErr w:type="spellStart"/>
      <w:r>
        <w:rPr>
          <w:rFonts w:ascii="Arial" w:hAnsi="Arial" w:cs="Arial"/>
          <w:lang w:val="it-IT"/>
        </w:rPr>
        <w:t>idarucizumab</w:t>
      </w:r>
      <w:proofErr w:type="spellEnd"/>
      <w:r w:rsidR="0077216D" w:rsidRPr="0077216D">
        <w:rPr>
          <w:rFonts w:ascii="Arial" w:hAnsi="Arial" w:cs="Arial"/>
          <w:lang w:val="it-IT"/>
        </w:rPr>
        <w:t>, se il paziente è clinicamente stabile e se è stata raggiunta un’emostasi adeguata.</w:t>
      </w:r>
    </w:p>
    <w:p w:rsidR="0077216D" w:rsidRPr="0077216D" w:rsidRDefault="0077216D" w:rsidP="0077216D">
      <w:pPr>
        <w:rPr>
          <w:rFonts w:ascii="Arial" w:hAnsi="Arial" w:cs="Arial"/>
          <w:lang w:val="it-IT"/>
        </w:rPr>
      </w:pPr>
      <w:r w:rsidRPr="0077216D">
        <w:rPr>
          <w:rFonts w:ascii="Arial" w:hAnsi="Arial" w:cs="Arial"/>
          <w:lang w:val="it-IT"/>
        </w:rPr>
        <w:t xml:space="preserve">Dopo la somministrazione di </w:t>
      </w:r>
      <w:proofErr w:type="spellStart"/>
      <w:r w:rsidR="008604C3">
        <w:rPr>
          <w:rFonts w:ascii="Arial" w:hAnsi="Arial" w:cs="Arial"/>
          <w:lang w:val="it-IT"/>
        </w:rPr>
        <w:t>idarucizumab</w:t>
      </w:r>
      <w:proofErr w:type="spellEnd"/>
      <w:r w:rsidRPr="0077216D">
        <w:rPr>
          <w:rFonts w:ascii="Arial" w:hAnsi="Arial" w:cs="Arial"/>
          <w:lang w:val="it-IT"/>
        </w:rPr>
        <w:t>, è possibile avviare un’altra terapia antitrombotica (ad es. eparina a basso peso molecolare) in qualsiasi momento, se il paziente è clinicamente stabile e se è stata raggiunta un’emostasi adeguata.</w:t>
      </w:r>
    </w:p>
    <w:p w:rsidR="00FA2CF8" w:rsidRDefault="0077216D" w:rsidP="0077216D">
      <w:pPr>
        <w:rPr>
          <w:rFonts w:ascii="Arial" w:hAnsi="Arial" w:cs="Arial"/>
          <w:b/>
          <w:bCs/>
          <w:lang w:val="it-IT"/>
        </w:rPr>
      </w:pPr>
      <w:r w:rsidRPr="0077216D">
        <w:rPr>
          <w:rFonts w:ascii="Arial" w:hAnsi="Arial" w:cs="Arial"/>
          <w:b/>
          <w:bCs/>
          <w:lang w:val="it-IT"/>
        </w:rPr>
        <w:t>L’assenza di terapia antitrombotica espone i pazienti al rischio trombotico intrinseco alla loro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77216D">
        <w:rPr>
          <w:rFonts w:ascii="Arial" w:hAnsi="Arial" w:cs="Arial"/>
          <w:b/>
          <w:bCs/>
          <w:lang w:val="it-IT"/>
        </w:rPr>
        <w:t>patologia o condizione di base</w:t>
      </w:r>
      <w:r w:rsidR="00CB53FB" w:rsidRPr="0088373F">
        <w:rPr>
          <w:rFonts w:ascii="Arial" w:hAnsi="Arial" w:cs="Arial"/>
          <w:vertAlign w:val="superscript"/>
          <w:lang w:val="it-IT"/>
        </w:rPr>
        <w:t>3</w:t>
      </w:r>
      <w:r w:rsidRPr="0077216D">
        <w:rPr>
          <w:rFonts w:ascii="Arial" w:hAnsi="Arial" w:cs="Arial"/>
          <w:b/>
          <w:bCs/>
          <w:lang w:val="it-IT"/>
        </w:rPr>
        <w:t>.</w:t>
      </w:r>
    </w:p>
    <w:p w:rsidR="00FA2CF8" w:rsidRDefault="00FA2CF8" w:rsidP="00FA2CF8">
      <w:pPr>
        <w:rPr>
          <w:rFonts w:ascii="Arial" w:hAnsi="Arial" w:cs="Arial"/>
          <w:b/>
          <w:bCs/>
          <w:lang w:val="it-IT"/>
        </w:rPr>
      </w:pPr>
    </w:p>
    <w:p w:rsidR="00CB53FB" w:rsidRDefault="00CB53FB" w:rsidP="00FA2CF8">
      <w:pPr>
        <w:rPr>
          <w:rFonts w:ascii="Arial" w:hAnsi="Arial" w:cs="Arial"/>
          <w:b/>
          <w:bCs/>
          <w:lang w:val="it-IT"/>
        </w:rPr>
      </w:pPr>
    </w:p>
    <w:p w:rsidR="00747E73" w:rsidRPr="00F25F58" w:rsidRDefault="00747E73" w:rsidP="00747E73">
      <w:pPr>
        <w:rPr>
          <w:sz w:val="20"/>
          <w:szCs w:val="20"/>
          <w:lang w:val="it-IT"/>
        </w:rPr>
      </w:pPr>
      <w:r w:rsidRPr="00F25F58">
        <w:rPr>
          <w:sz w:val="20"/>
          <w:szCs w:val="20"/>
          <w:lang w:val="it-IT"/>
        </w:rPr>
        <w:t>Bibliografia</w:t>
      </w:r>
      <w:r w:rsidR="00EF0913">
        <w:rPr>
          <w:sz w:val="20"/>
          <w:szCs w:val="20"/>
          <w:lang w:val="it-IT"/>
        </w:rPr>
        <w:t>:</w:t>
      </w:r>
    </w:p>
    <w:p w:rsidR="00747E73" w:rsidRPr="00F25F58" w:rsidRDefault="006D108A" w:rsidP="00747E73">
      <w:pPr>
        <w:pStyle w:val="ListParagraph"/>
        <w:numPr>
          <w:ilvl w:val="0"/>
          <w:numId w:val="3"/>
        </w:numPr>
        <w:rPr>
          <w:sz w:val="20"/>
          <w:szCs w:val="20"/>
          <w:lang w:val="it-IT"/>
        </w:rPr>
      </w:pPr>
      <w:hyperlink r:id="rId8" w:history="1">
        <w:r w:rsidR="00747E73" w:rsidRPr="00F25F58">
          <w:rPr>
            <w:rStyle w:val="Hyperlink"/>
            <w:sz w:val="20"/>
            <w:szCs w:val="20"/>
            <w:lang w:val="it-IT"/>
          </w:rPr>
          <w:t>http://www.fda.gov/NewsEvents/Newsroom/PressAnnouncements/ucm467300.htm</w:t>
        </w:r>
      </w:hyperlink>
      <w:r w:rsidR="00747E73" w:rsidRPr="00F25F58">
        <w:rPr>
          <w:sz w:val="20"/>
          <w:szCs w:val="20"/>
          <w:lang w:val="it-IT"/>
        </w:rPr>
        <w:t xml:space="preserve"> </w:t>
      </w:r>
    </w:p>
    <w:p w:rsidR="00E51080" w:rsidRPr="00F25F58" w:rsidRDefault="006D108A" w:rsidP="00E51080">
      <w:pPr>
        <w:pStyle w:val="ListParagraph"/>
        <w:numPr>
          <w:ilvl w:val="0"/>
          <w:numId w:val="3"/>
        </w:numPr>
        <w:rPr>
          <w:sz w:val="20"/>
          <w:szCs w:val="20"/>
          <w:lang w:val="it-IT"/>
        </w:rPr>
      </w:pPr>
      <w:hyperlink r:id="rId9" w:history="1">
        <w:r w:rsidR="00E51080" w:rsidRPr="00F25F58">
          <w:rPr>
            <w:rStyle w:val="Hyperlink"/>
            <w:sz w:val="20"/>
            <w:szCs w:val="20"/>
            <w:lang w:val="it-IT"/>
          </w:rPr>
          <w:t>https://www.gov.uk/government/uploads/system/uploads/attachment_data/file/253488/Emergency_Response_and_Recovery_5th_edition_October_2013.pdf</w:t>
        </w:r>
      </w:hyperlink>
      <w:r w:rsidR="00E51080" w:rsidRPr="00F25F58">
        <w:rPr>
          <w:sz w:val="20"/>
          <w:szCs w:val="20"/>
          <w:lang w:val="it-IT"/>
        </w:rPr>
        <w:t xml:space="preserve"> </w:t>
      </w:r>
    </w:p>
    <w:p w:rsidR="00747E73" w:rsidRPr="00F25F58" w:rsidRDefault="00747E73" w:rsidP="00747E73">
      <w:pPr>
        <w:pStyle w:val="ListParagraph"/>
        <w:numPr>
          <w:ilvl w:val="0"/>
          <w:numId w:val="3"/>
        </w:numPr>
        <w:rPr>
          <w:sz w:val="20"/>
          <w:szCs w:val="20"/>
          <w:lang w:val="it-IT"/>
        </w:rPr>
      </w:pPr>
      <w:r w:rsidRPr="00F25F58">
        <w:rPr>
          <w:sz w:val="20"/>
          <w:szCs w:val="20"/>
          <w:lang w:val="it-IT"/>
        </w:rPr>
        <w:t xml:space="preserve">Riassunto delle Caratteristiche di Prodotto del medicinale </w:t>
      </w:r>
      <w:r w:rsidR="00432E7E">
        <w:rPr>
          <w:sz w:val="20"/>
          <w:szCs w:val="20"/>
          <w:lang w:val="it-IT"/>
        </w:rPr>
        <w:t>idarucizumab</w:t>
      </w:r>
      <w:r w:rsidRPr="00F25F58">
        <w:rPr>
          <w:sz w:val="20"/>
          <w:szCs w:val="20"/>
          <w:lang w:val="it-IT"/>
        </w:rPr>
        <w:t xml:space="preserve"> </w:t>
      </w:r>
    </w:p>
    <w:p w:rsidR="0019196C" w:rsidRPr="00F25F58" w:rsidRDefault="0019196C" w:rsidP="0019196C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F25F58">
        <w:rPr>
          <w:sz w:val="20"/>
          <w:szCs w:val="20"/>
          <w:lang w:val="it-IT"/>
        </w:rPr>
        <w:t>Heidbuchel</w:t>
      </w:r>
      <w:proofErr w:type="spellEnd"/>
      <w:r w:rsidRPr="00F25F58">
        <w:rPr>
          <w:sz w:val="20"/>
          <w:szCs w:val="20"/>
          <w:lang w:val="it-IT"/>
        </w:rPr>
        <w:t xml:space="preserve"> H. et al. </w:t>
      </w:r>
      <w:proofErr w:type="spellStart"/>
      <w:r w:rsidRPr="00F25F58">
        <w:rPr>
          <w:sz w:val="20"/>
          <w:szCs w:val="20"/>
          <w:lang w:val="it-IT"/>
        </w:rPr>
        <w:t>Updated</w:t>
      </w:r>
      <w:proofErr w:type="spellEnd"/>
      <w:r w:rsidRPr="00F25F58">
        <w:rPr>
          <w:sz w:val="20"/>
          <w:szCs w:val="20"/>
          <w:lang w:val="it-IT"/>
        </w:rPr>
        <w:t xml:space="preserve"> </w:t>
      </w:r>
      <w:proofErr w:type="spellStart"/>
      <w:r w:rsidRPr="00F25F58">
        <w:rPr>
          <w:sz w:val="20"/>
          <w:szCs w:val="20"/>
          <w:lang w:val="it-IT"/>
        </w:rPr>
        <w:t>European</w:t>
      </w:r>
      <w:proofErr w:type="spellEnd"/>
      <w:r w:rsidRPr="00F25F58">
        <w:rPr>
          <w:sz w:val="20"/>
          <w:szCs w:val="20"/>
          <w:lang w:val="it-IT"/>
        </w:rPr>
        <w:t xml:space="preserve"> </w:t>
      </w:r>
      <w:proofErr w:type="spellStart"/>
      <w:r w:rsidRPr="00F25F58">
        <w:rPr>
          <w:sz w:val="20"/>
          <w:szCs w:val="20"/>
          <w:lang w:val="it-IT"/>
        </w:rPr>
        <w:t>Heart</w:t>
      </w:r>
      <w:proofErr w:type="spellEnd"/>
      <w:r w:rsidRPr="00F25F58">
        <w:rPr>
          <w:sz w:val="20"/>
          <w:szCs w:val="20"/>
          <w:lang w:val="it-IT"/>
        </w:rPr>
        <w:t xml:space="preserve"> </w:t>
      </w:r>
      <w:proofErr w:type="spellStart"/>
      <w:r w:rsidRPr="00F25F58">
        <w:rPr>
          <w:sz w:val="20"/>
          <w:szCs w:val="20"/>
          <w:lang w:val="it-IT"/>
        </w:rPr>
        <w:t>Rhythm</w:t>
      </w:r>
      <w:proofErr w:type="spellEnd"/>
      <w:r w:rsidRPr="00F25F58">
        <w:rPr>
          <w:sz w:val="20"/>
          <w:szCs w:val="20"/>
          <w:lang w:val="it-IT"/>
        </w:rPr>
        <w:t xml:space="preserve"> </w:t>
      </w:r>
      <w:proofErr w:type="spellStart"/>
      <w:r w:rsidRPr="00F25F58">
        <w:rPr>
          <w:sz w:val="20"/>
          <w:szCs w:val="20"/>
          <w:lang w:val="it-IT"/>
        </w:rPr>
        <w:t>Association</w:t>
      </w:r>
      <w:proofErr w:type="spellEnd"/>
      <w:r w:rsidRPr="00F25F58">
        <w:rPr>
          <w:sz w:val="20"/>
          <w:szCs w:val="20"/>
          <w:lang w:val="it-IT"/>
        </w:rPr>
        <w:t xml:space="preserve"> </w:t>
      </w:r>
      <w:proofErr w:type="spellStart"/>
      <w:r w:rsidRPr="00F25F58">
        <w:rPr>
          <w:sz w:val="20"/>
          <w:szCs w:val="20"/>
          <w:lang w:val="it-IT"/>
        </w:rPr>
        <w:t>Practical</w:t>
      </w:r>
      <w:proofErr w:type="spellEnd"/>
      <w:r w:rsidRPr="00F25F58">
        <w:rPr>
          <w:sz w:val="20"/>
          <w:szCs w:val="20"/>
          <w:lang w:val="it-IT"/>
        </w:rPr>
        <w:t xml:space="preserve"> Guide on the use of non-</w:t>
      </w:r>
      <w:proofErr w:type="spellStart"/>
      <w:r w:rsidRPr="00F25F58">
        <w:rPr>
          <w:sz w:val="20"/>
          <w:szCs w:val="20"/>
          <w:lang w:val="it-IT"/>
        </w:rPr>
        <w:t>vitamin</w:t>
      </w:r>
      <w:proofErr w:type="spellEnd"/>
      <w:r w:rsidRPr="00F25F58">
        <w:rPr>
          <w:sz w:val="20"/>
          <w:szCs w:val="20"/>
          <w:lang w:val="it-IT"/>
        </w:rPr>
        <w:t xml:space="preserve"> K </w:t>
      </w:r>
      <w:proofErr w:type="spellStart"/>
      <w:r w:rsidRPr="00F25F58">
        <w:rPr>
          <w:sz w:val="20"/>
          <w:szCs w:val="20"/>
          <w:lang w:val="it-IT"/>
        </w:rPr>
        <w:t>antagonist</w:t>
      </w:r>
      <w:proofErr w:type="spellEnd"/>
      <w:r w:rsidRPr="00F25F58">
        <w:rPr>
          <w:sz w:val="20"/>
          <w:szCs w:val="20"/>
          <w:lang w:val="it-IT"/>
        </w:rPr>
        <w:t xml:space="preserve"> </w:t>
      </w:r>
      <w:proofErr w:type="spellStart"/>
      <w:r w:rsidRPr="00F25F58">
        <w:rPr>
          <w:sz w:val="20"/>
          <w:szCs w:val="20"/>
          <w:lang w:val="it-IT"/>
        </w:rPr>
        <w:t>anticoagulants</w:t>
      </w:r>
      <w:proofErr w:type="spellEnd"/>
      <w:r w:rsidRPr="00F25F58">
        <w:rPr>
          <w:sz w:val="20"/>
          <w:szCs w:val="20"/>
          <w:lang w:val="it-IT"/>
        </w:rPr>
        <w:t xml:space="preserve"> in </w:t>
      </w:r>
      <w:proofErr w:type="spellStart"/>
      <w:r w:rsidRPr="00F25F58">
        <w:rPr>
          <w:sz w:val="20"/>
          <w:szCs w:val="20"/>
          <w:lang w:val="it-IT"/>
        </w:rPr>
        <w:t>patients</w:t>
      </w:r>
      <w:proofErr w:type="spellEnd"/>
      <w:r w:rsidRPr="00F25F58">
        <w:rPr>
          <w:sz w:val="20"/>
          <w:szCs w:val="20"/>
          <w:lang w:val="it-IT"/>
        </w:rPr>
        <w:t xml:space="preserve"> with non-</w:t>
      </w:r>
      <w:proofErr w:type="spellStart"/>
      <w:r w:rsidRPr="00F25F58">
        <w:rPr>
          <w:sz w:val="20"/>
          <w:szCs w:val="20"/>
          <w:lang w:val="it-IT"/>
        </w:rPr>
        <w:t>valvular</w:t>
      </w:r>
      <w:proofErr w:type="spellEnd"/>
      <w:r w:rsidRPr="00F25F58">
        <w:rPr>
          <w:sz w:val="20"/>
          <w:szCs w:val="20"/>
          <w:lang w:val="it-IT"/>
        </w:rPr>
        <w:t xml:space="preserve"> </w:t>
      </w:r>
      <w:proofErr w:type="spellStart"/>
      <w:r w:rsidRPr="00F25F58">
        <w:rPr>
          <w:sz w:val="20"/>
          <w:szCs w:val="20"/>
          <w:lang w:val="it-IT"/>
        </w:rPr>
        <w:t>atrial</w:t>
      </w:r>
      <w:proofErr w:type="spellEnd"/>
      <w:r w:rsidRPr="00F25F58">
        <w:rPr>
          <w:sz w:val="20"/>
          <w:szCs w:val="20"/>
          <w:lang w:val="it-IT"/>
        </w:rPr>
        <w:t xml:space="preserve"> </w:t>
      </w:r>
      <w:proofErr w:type="spellStart"/>
      <w:r w:rsidRPr="00F25F58">
        <w:rPr>
          <w:sz w:val="20"/>
          <w:szCs w:val="20"/>
          <w:lang w:val="it-IT"/>
        </w:rPr>
        <w:t>fibrillation</w:t>
      </w:r>
      <w:proofErr w:type="spellEnd"/>
      <w:r w:rsidRPr="00F25F58">
        <w:rPr>
          <w:sz w:val="20"/>
          <w:szCs w:val="20"/>
          <w:lang w:val="it-IT"/>
        </w:rPr>
        <w:t xml:space="preserve">.  </w:t>
      </w:r>
      <w:proofErr w:type="spellStart"/>
      <w:r w:rsidRPr="00F25F58">
        <w:rPr>
          <w:i/>
          <w:iCs/>
          <w:sz w:val="20"/>
          <w:szCs w:val="20"/>
        </w:rPr>
        <w:t>Europace</w:t>
      </w:r>
      <w:proofErr w:type="spellEnd"/>
      <w:r w:rsidR="0070471C" w:rsidRPr="00F25F58">
        <w:rPr>
          <w:sz w:val="20"/>
          <w:szCs w:val="20"/>
        </w:rPr>
        <w:t>. 2015 Oct;17(10):1467-507</w:t>
      </w:r>
      <w:r w:rsidRPr="00F25F58">
        <w:rPr>
          <w:sz w:val="20"/>
          <w:szCs w:val="20"/>
        </w:rPr>
        <w:t xml:space="preserve"> </w:t>
      </w:r>
    </w:p>
    <w:p w:rsidR="00903CC4" w:rsidRPr="00F25F58" w:rsidRDefault="006D108A" w:rsidP="00903CC4">
      <w:pPr>
        <w:pStyle w:val="ListParagraph"/>
        <w:numPr>
          <w:ilvl w:val="0"/>
          <w:numId w:val="3"/>
        </w:numPr>
        <w:rPr>
          <w:sz w:val="20"/>
          <w:szCs w:val="20"/>
        </w:rPr>
      </w:pPr>
      <w:hyperlink r:id="rId10" w:history="1">
        <w:r w:rsidR="00903CC4" w:rsidRPr="00F25F58">
          <w:rPr>
            <w:rStyle w:val="Hyperlink"/>
            <w:sz w:val="20"/>
            <w:szCs w:val="20"/>
          </w:rPr>
          <w:t>http://www.agenziafarmaco.com/it/content/l%E2%80%99ema-raccomanda-idarucizumab-come-antidoto-all%E2%80%99anticoagulante-dabigatran-etexilato</w:t>
        </w:r>
      </w:hyperlink>
      <w:r w:rsidR="00903CC4" w:rsidRPr="00F25F58">
        <w:rPr>
          <w:sz w:val="20"/>
          <w:szCs w:val="20"/>
        </w:rPr>
        <w:t xml:space="preserve"> (05.10.2015)</w:t>
      </w:r>
    </w:p>
    <w:p w:rsidR="005E12E7" w:rsidRPr="00F25F58" w:rsidRDefault="005E12E7" w:rsidP="005E12E7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F25F58">
        <w:rPr>
          <w:sz w:val="20"/>
          <w:szCs w:val="20"/>
        </w:rPr>
        <w:t>Eikelboom</w:t>
      </w:r>
      <w:proofErr w:type="spellEnd"/>
      <w:r w:rsidRPr="00F25F58">
        <w:rPr>
          <w:sz w:val="20"/>
          <w:szCs w:val="20"/>
        </w:rPr>
        <w:t xml:space="preserve"> John W. et al. </w:t>
      </w:r>
      <w:proofErr w:type="spellStart"/>
      <w:r w:rsidRPr="00F25F58">
        <w:rPr>
          <w:sz w:val="20"/>
          <w:szCs w:val="20"/>
        </w:rPr>
        <w:t>Idarucizumab</w:t>
      </w:r>
      <w:proofErr w:type="spellEnd"/>
      <w:r w:rsidRPr="00F25F58">
        <w:rPr>
          <w:sz w:val="20"/>
          <w:szCs w:val="20"/>
        </w:rPr>
        <w:t xml:space="preserve"> - The Antidote for Reversal of </w:t>
      </w:r>
      <w:proofErr w:type="spellStart"/>
      <w:r w:rsidRPr="00F25F58">
        <w:rPr>
          <w:sz w:val="20"/>
          <w:szCs w:val="20"/>
        </w:rPr>
        <w:t>Dabigatran</w:t>
      </w:r>
      <w:proofErr w:type="spellEnd"/>
      <w:r w:rsidRPr="00F25F58">
        <w:rPr>
          <w:sz w:val="20"/>
          <w:szCs w:val="20"/>
        </w:rPr>
        <w:t xml:space="preserve">. </w:t>
      </w:r>
      <w:r w:rsidRPr="00F25F58">
        <w:rPr>
          <w:i/>
          <w:iCs/>
          <w:sz w:val="20"/>
          <w:szCs w:val="20"/>
        </w:rPr>
        <w:t>Circulation</w:t>
      </w:r>
      <w:r w:rsidRPr="00F25F58">
        <w:rPr>
          <w:sz w:val="20"/>
          <w:szCs w:val="20"/>
        </w:rPr>
        <w:t xml:space="preserve"> 2015;132</w:t>
      </w:r>
      <w:r w:rsidR="0070471C" w:rsidRPr="00F25F58">
        <w:rPr>
          <w:sz w:val="20"/>
          <w:szCs w:val="20"/>
        </w:rPr>
        <w:t>:2412-2422</w:t>
      </w:r>
    </w:p>
    <w:p w:rsidR="00E10BC2" w:rsidRPr="00F25F58" w:rsidRDefault="00E10BC2" w:rsidP="005E12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25F58">
        <w:rPr>
          <w:sz w:val="20"/>
          <w:szCs w:val="20"/>
        </w:rPr>
        <w:t xml:space="preserve">Pollack CV Jr, et al. </w:t>
      </w:r>
      <w:proofErr w:type="spellStart"/>
      <w:r w:rsidRPr="00F25F58">
        <w:rPr>
          <w:sz w:val="20"/>
          <w:szCs w:val="20"/>
        </w:rPr>
        <w:t>Idarucizumab</w:t>
      </w:r>
      <w:proofErr w:type="spellEnd"/>
      <w:r w:rsidRPr="00F25F58">
        <w:rPr>
          <w:sz w:val="20"/>
          <w:szCs w:val="20"/>
        </w:rPr>
        <w:t xml:space="preserve"> for </w:t>
      </w:r>
      <w:proofErr w:type="spellStart"/>
      <w:r w:rsidRPr="00F25F58">
        <w:rPr>
          <w:sz w:val="20"/>
          <w:szCs w:val="20"/>
        </w:rPr>
        <w:t>Dabigatran</w:t>
      </w:r>
      <w:proofErr w:type="spellEnd"/>
      <w:r w:rsidRPr="00F25F58">
        <w:rPr>
          <w:sz w:val="20"/>
          <w:szCs w:val="20"/>
        </w:rPr>
        <w:t xml:space="preserve"> Reversal. </w:t>
      </w:r>
      <w:r w:rsidRPr="00F25F58">
        <w:rPr>
          <w:i/>
          <w:iCs/>
          <w:sz w:val="20"/>
          <w:szCs w:val="20"/>
        </w:rPr>
        <w:t xml:space="preserve">N </w:t>
      </w:r>
      <w:proofErr w:type="spellStart"/>
      <w:r w:rsidRPr="00F25F58">
        <w:rPr>
          <w:i/>
          <w:iCs/>
          <w:sz w:val="20"/>
          <w:szCs w:val="20"/>
        </w:rPr>
        <w:t>Engl</w:t>
      </w:r>
      <w:proofErr w:type="spellEnd"/>
      <w:r w:rsidRPr="00F25F58">
        <w:rPr>
          <w:i/>
          <w:iCs/>
          <w:sz w:val="20"/>
          <w:szCs w:val="20"/>
        </w:rPr>
        <w:t xml:space="preserve"> J Med.</w:t>
      </w:r>
      <w:r w:rsidRPr="00F25F58">
        <w:rPr>
          <w:sz w:val="20"/>
          <w:szCs w:val="20"/>
        </w:rPr>
        <w:t xml:space="preserve"> 2015 Aug 6; 373(6): 511-20.</w:t>
      </w:r>
    </w:p>
    <w:p w:rsidR="0070471C" w:rsidRPr="00F25F58" w:rsidRDefault="0070471C" w:rsidP="00CB53F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F25F58">
        <w:rPr>
          <w:sz w:val="20"/>
          <w:szCs w:val="20"/>
          <w:lang w:val="fr-FR"/>
        </w:rPr>
        <w:t>Aronis</w:t>
      </w:r>
      <w:proofErr w:type="spellEnd"/>
      <w:r w:rsidRPr="00F25F58">
        <w:rPr>
          <w:sz w:val="20"/>
          <w:szCs w:val="20"/>
          <w:lang w:val="fr-FR"/>
        </w:rPr>
        <w:t xml:space="preserve"> K. N. et al. </w:t>
      </w:r>
      <w:r w:rsidRPr="00F25F58">
        <w:rPr>
          <w:i/>
          <w:iCs/>
          <w:sz w:val="20"/>
          <w:szCs w:val="20"/>
        </w:rPr>
        <w:t xml:space="preserve">J </w:t>
      </w:r>
      <w:proofErr w:type="spellStart"/>
      <w:r w:rsidRPr="00F25F58">
        <w:rPr>
          <w:i/>
          <w:iCs/>
          <w:sz w:val="20"/>
          <w:szCs w:val="20"/>
        </w:rPr>
        <w:t>Thromb</w:t>
      </w:r>
      <w:proofErr w:type="spellEnd"/>
      <w:r w:rsidRPr="00F25F58">
        <w:rPr>
          <w:i/>
          <w:iCs/>
          <w:sz w:val="20"/>
          <w:szCs w:val="20"/>
        </w:rPr>
        <w:t xml:space="preserve"> Thrombolysis</w:t>
      </w:r>
      <w:r w:rsidRPr="00F25F58">
        <w:rPr>
          <w:sz w:val="20"/>
          <w:szCs w:val="20"/>
        </w:rPr>
        <w:t xml:space="preserve"> 2016 41:253–272</w:t>
      </w:r>
    </w:p>
    <w:sectPr w:rsidR="0070471C" w:rsidRPr="00F25F58" w:rsidSect="006678A1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E3" w:rsidRDefault="004F01E3" w:rsidP="00EF0913">
      <w:pPr>
        <w:spacing w:after="0" w:line="240" w:lineRule="auto"/>
      </w:pPr>
      <w:r>
        <w:separator/>
      </w:r>
    </w:p>
  </w:endnote>
  <w:endnote w:type="continuationSeparator" w:id="0">
    <w:p w:rsidR="004F01E3" w:rsidRDefault="004F01E3" w:rsidP="00EF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8A1" w:rsidRDefault="006D108A" w:rsidP="006678A1">
    <w:pPr>
      <w:pStyle w:val="Footer"/>
      <w:jc w:val="right"/>
    </w:pPr>
    <w:sdt>
      <w:sdtPr>
        <w:id w:val="1871178887"/>
        <w:docPartObj>
          <w:docPartGallery w:val="Page Numbers (Bottom of Page)"/>
          <w:docPartUnique/>
        </w:docPartObj>
      </w:sdtPr>
      <w:sdtEndPr/>
      <w:sdtContent>
        <w:r w:rsidR="006678A1">
          <w:fldChar w:fldCharType="begin"/>
        </w:r>
        <w:r w:rsidR="006678A1" w:rsidRPr="006678A1">
          <w:rPr>
            <w:lang w:val="it-IT"/>
          </w:rPr>
          <w:instrText>PAGE   \* MERGEFORMAT</w:instrText>
        </w:r>
        <w:r w:rsidR="006678A1">
          <w:fldChar w:fldCharType="separate"/>
        </w:r>
        <w:r w:rsidRPr="006D108A">
          <w:rPr>
            <w:noProof/>
            <w:lang w:val="it-IT"/>
          </w:rPr>
          <w:t>1</w:t>
        </w:r>
        <w:r w:rsidR="006678A1">
          <w:fldChar w:fldCharType="end"/>
        </w:r>
      </w:sdtContent>
    </w:sdt>
  </w:p>
  <w:p w:rsidR="00FE385A" w:rsidRPr="00FE385A" w:rsidRDefault="00FE385A" w:rsidP="00FE385A">
    <w:pPr>
      <w:ind w:right="360"/>
      <w:jc w:val="center"/>
      <w:rPr>
        <w:b/>
        <w:bCs/>
        <w:color w:val="7F7F7F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E3" w:rsidRDefault="004F01E3" w:rsidP="00EF0913">
      <w:pPr>
        <w:spacing w:after="0" w:line="240" w:lineRule="auto"/>
      </w:pPr>
      <w:r>
        <w:separator/>
      </w:r>
    </w:p>
  </w:footnote>
  <w:footnote w:type="continuationSeparator" w:id="0">
    <w:p w:rsidR="004F01E3" w:rsidRDefault="004F01E3" w:rsidP="00EF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C2E"/>
    <w:multiLevelType w:val="hybridMultilevel"/>
    <w:tmpl w:val="D8FCD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F9D"/>
    <w:multiLevelType w:val="hybridMultilevel"/>
    <w:tmpl w:val="23223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102F"/>
    <w:multiLevelType w:val="hybridMultilevel"/>
    <w:tmpl w:val="424A6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ED6"/>
    <w:multiLevelType w:val="hybridMultilevel"/>
    <w:tmpl w:val="9876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35537"/>
    <w:multiLevelType w:val="hybridMultilevel"/>
    <w:tmpl w:val="EFC6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72998"/>
    <w:multiLevelType w:val="hybridMultilevel"/>
    <w:tmpl w:val="F2C65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9"/>
    <w:rsid w:val="000C2E96"/>
    <w:rsid w:val="000F354E"/>
    <w:rsid w:val="00115EE2"/>
    <w:rsid w:val="00161B7C"/>
    <w:rsid w:val="0019196C"/>
    <w:rsid w:val="001B5E8F"/>
    <w:rsid w:val="001D1758"/>
    <w:rsid w:val="002868F3"/>
    <w:rsid w:val="003812BE"/>
    <w:rsid w:val="003E5FAB"/>
    <w:rsid w:val="00432E7E"/>
    <w:rsid w:val="00483CAC"/>
    <w:rsid w:val="004B5E02"/>
    <w:rsid w:val="004F01E3"/>
    <w:rsid w:val="00560148"/>
    <w:rsid w:val="00590BE0"/>
    <w:rsid w:val="005E12E7"/>
    <w:rsid w:val="006678A1"/>
    <w:rsid w:val="006B0307"/>
    <w:rsid w:val="006B7115"/>
    <w:rsid w:val="006D108A"/>
    <w:rsid w:val="0070471C"/>
    <w:rsid w:val="00747E73"/>
    <w:rsid w:val="0077216D"/>
    <w:rsid w:val="007C3363"/>
    <w:rsid w:val="007E1048"/>
    <w:rsid w:val="008604C3"/>
    <w:rsid w:val="0088373F"/>
    <w:rsid w:val="00903CC4"/>
    <w:rsid w:val="00995526"/>
    <w:rsid w:val="009C2489"/>
    <w:rsid w:val="009F2BF3"/>
    <w:rsid w:val="00AD7AD0"/>
    <w:rsid w:val="00B625A4"/>
    <w:rsid w:val="00B8055B"/>
    <w:rsid w:val="00B87807"/>
    <w:rsid w:val="00BE6589"/>
    <w:rsid w:val="00C24488"/>
    <w:rsid w:val="00C36FAD"/>
    <w:rsid w:val="00C558FF"/>
    <w:rsid w:val="00C661D4"/>
    <w:rsid w:val="00CB53FB"/>
    <w:rsid w:val="00D16606"/>
    <w:rsid w:val="00D62E3B"/>
    <w:rsid w:val="00D6483E"/>
    <w:rsid w:val="00DE4DB3"/>
    <w:rsid w:val="00DF79D3"/>
    <w:rsid w:val="00E10BC2"/>
    <w:rsid w:val="00E51080"/>
    <w:rsid w:val="00ED0831"/>
    <w:rsid w:val="00EE6AF9"/>
    <w:rsid w:val="00EF0913"/>
    <w:rsid w:val="00F25F58"/>
    <w:rsid w:val="00F30A3A"/>
    <w:rsid w:val="00F47743"/>
    <w:rsid w:val="00FA2CF8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4E"/>
    <w:rPr>
      <w:rFonts w:ascii="Tahoma" w:hAnsi="Tahoma" w:cs="Angsana New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2E3B"/>
    <w:rPr>
      <w:rFonts w:ascii="Courier New" w:eastAsia="Times New Roman" w:hAnsi="Courier New" w:cs="Courier New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D62E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EF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13"/>
  </w:style>
  <w:style w:type="paragraph" w:styleId="Footer">
    <w:name w:val="footer"/>
    <w:basedOn w:val="Normal"/>
    <w:link w:val="FooterChar"/>
    <w:uiPriority w:val="99"/>
    <w:unhideWhenUsed/>
    <w:rsid w:val="00EF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4E"/>
    <w:rPr>
      <w:rFonts w:ascii="Tahoma" w:hAnsi="Tahoma" w:cs="Angsana New"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2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2E3B"/>
    <w:rPr>
      <w:rFonts w:ascii="Courier New" w:eastAsia="Times New Roman" w:hAnsi="Courier New" w:cs="Courier New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D62E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EF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13"/>
  </w:style>
  <w:style w:type="paragraph" w:styleId="Footer">
    <w:name w:val="footer"/>
    <w:basedOn w:val="Normal"/>
    <w:link w:val="FooterChar"/>
    <w:uiPriority w:val="99"/>
    <w:unhideWhenUsed/>
    <w:rsid w:val="00EF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NewsEvents/Newsroom/PressAnnouncements/ucm467300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genziafarmaco.com/it/content/l%E2%80%99ema-raccomanda-idarucizumab-come-antidoto-all%E2%80%99anticoagulante-dabigatran-etexil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253488/Emergency_Response_and_Recovery_5th_edition_October_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Ruggieri,Dr.,Giambattista  BI-IT-M</dc:creator>
  <cp:lastModifiedBy>Ruggieri,Dr.,Giambattista  BI-IT-M</cp:lastModifiedBy>
  <cp:revision>2</cp:revision>
  <dcterms:created xsi:type="dcterms:W3CDTF">2016-05-18T16:44:00Z</dcterms:created>
  <dcterms:modified xsi:type="dcterms:W3CDTF">2016-05-18T16:44:00Z</dcterms:modified>
</cp:coreProperties>
</file>